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3DD1" w:rsidRPr="00CB45DD" w:rsidRDefault="002D518E" w:rsidP="00435938">
      <w:pPr>
        <w:pStyle w:val="Heading1"/>
        <w:spacing w:before="97"/>
        <w:ind w:left="0" w:right="110"/>
        <w:rPr>
          <w:rFonts w:asciiTheme="majorHAnsi" w:hAnsiTheme="majorHAnsi"/>
          <w:szCs w:val="24"/>
          <w:u w:val="single"/>
        </w:rPr>
      </w:pPr>
      <w:bookmarkStart w:id="0" w:name="_GoBack"/>
      <w:r w:rsidRPr="00CB45DD">
        <w:rPr>
          <w:rFonts w:asciiTheme="majorHAnsi" w:hAnsiTheme="majorHAnsi"/>
          <w:szCs w:val="24"/>
          <w:u w:val="single"/>
        </w:rPr>
        <w:t xml:space="preserve">APPENDIX </w:t>
      </w:r>
      <w:r w:rsidR="00CB45DD" w:rsidRPr="00CB45DD">
        <w:rPr>
          <w:rFonts w:asciiTheme="majorHAnsi" w:hAnsiTheme="majorHAnsi"/>
          <w:szCs w:val="24"/>
          <w:u w:val="single"/>
        </w:rPr>
        <w:t xml:space="preserve"> IV</w:t>
      </w:r>
    </w:p>
    <w:bookmarkEnd w:id="0"/>
    <w:p w:rsidR="00CB45DD" w:rsidRDefault="00CB45DD" w:rsidP="00435938">
      <w:pPr>
        <w:pStyle w:val="Heading1"/>
        <w:spacing w:before="97"/>
        <w:ind w:left="0" w:right="110"/>
        <w:rPr>
          <w:rFonts w:asciiTheme="majorHAnsi" w:hAnsiTheme="majorHAnsi"/>
          <w:sz w:val="24"/>
          <w:szCs w:val="24"/>
        </w:rPr>
      </w:pPr>
    </w:p>
    <w:p w:rsidR="00CB45DD" w:rsidRPr="006B25C4" w:rsidRDefault="00CB45DD" w:rsidP="00435938">
      <w:pPr>
        <w:pStyle w:val="Heading1"/>
        <w:spacing w:before="97"/>
        <w:ind w:left="0" w:right="110"/>
        <w:rPr>
          <w:rFonts w:asciiTheme="majorHAnsi" w:hAnsiTheme="majorHAnsi"/>
          <w:sz w:val="24"/>
          <w:szCs w:val="24"/>
        </w:rPr>
      </w:pPr>
    </w:p>
    <w:p w:rsidR="006F3DD1" w:rsidRPr="006B25C4" w:rsidRDefault="002D518E" w:rsidP="00435938">
      <w:pPr>
        <w:ind w:right="110" w:hanging="1"/>
        <w:jc w:val="center"/>
        <w:rPr>
          <w:rFonts w:asciiTheme="majorHAnsi" w:hAnsiTheme="majorHAnsi"/>
          <w:b/>
          <w:sz w:val="24"/>
          <w:szCs w:val="24"/>
        </w:rPr>
      </w:pPr>
      <w:r w:rsidRPr="006B25C4">
        <w:rPr>
          <w:rFonts w:asciiTheme="majorHAnsi" w:hAnsiTheme="majorHAnsi"/>
          <w:b/>
          <w:sz w:val="24"/>
          <w:szCs w:val="24"/>
        </w:rPr>
        <w:t xml:space="preserve">SUMMARY OF MEMBERS’ REPORTS </w:t>
      </w:r>
      <w:r w:rsidRPr="006B25C4">
        <w:rPr>
          <w:rFonts w:asciiTheme="majorHAnsi" w:hAnsiTheme="majorHAnsi"/>
          <w:b/>
          <w:spacing w:val="-42"/>
          <w:sz w:val="24"/>
          <w:szCs w:val="24"/>
        </w:rPr>
        <w:t xml:space="preserve"> </w:t>
      </w:r>
      <w:r w:rsidR="00715527" w:rsidRPr="006B25C4">
        <w:rPr>
          <w:rFonts w:asciiTheme="majorHAnsi" w:hAnsiTheme="majorHAnsi"/>
          <w:b/>
          <w:sz w:val="24"/>
          <w:szCs w:val="24"/>
        </w:rPr>
        <w:t>201</w:t>
      </w:r>
      <w:r w:rsidR="00E675D3" w:rsidRPr="006B25C4">
        <w:rPr>
          <w:rFonts w:asciiTheme="majorHAnsi" w:hAnsiTheme="majorHAnsi"/>
          <w:b/>
          <w:sz w:val="24"/>
          <w:szCs w:val="24"/>
        </w:rPr>
        <w:t>9</w:t>
      </w:r>
    </w:p>
    <w:p w:rsidR="006F3DD1" w:rsidRPr="006B25C4" w:rsidRDefault="006F3DD1" w:rsidP="00435938">
      <w:pPr>
        <w:pStyle w:val="BodyText"/>
        <w:spacing w:before="7"/>
        <w:ind w:right="110"/>
        <w:jc w:val="center"/>
        <w:rPr>
          <w:rFonts w:asciiTheme="majorHAnsi" w:hAnsiTheme="majorHAnsi"/>
          <w:b/>
        </w:rPr>
      </w:pPr>
    </w:p>
    <w:p w:rsidR="006F3DD1" w:rsidRPr="006B25C4" w:rsidRDefault="0040764C" w:rsidP="00435938">
      <w:pPr>
        <w:pStyle w:val="BodyText"/>
        <w:ind w:right="110"/>
        <w:jc w:val="center"/>
        <w:rPr>
          <w:rFonts w:asciiTheme="majorHAnsi" w:hAnsiTheme="majorHAnsi"/>
        </w:rPr>
      </w:pPr>
      <w:r w:rsidRPr="006B25C4">
        <w:rPr>
          <w:rFonts w:asciiTheme="majorHAnsi" w:hAnsiTheme="majorHAnsi"/>
        </w:rPr>
        <w:t>Raymond Tanabe</w:t>
      </w:r>
      <w:r w:rsidR="002D518E" w:rsidRPr="006B25C4">
        <w:rPr>
          <w:rFonts w:asciiTheme="majorHAnsi" w:hAnsiTheme="majorHAnsi"/>
        </w:rPr>
        <w:t xml:space="preserve"> (AWG Chair)</w:t>
      </w:r>
    </w:p>
    <w:p w:rsidR="006F3DD1" w:rsidRPr="006B25C4" w:rsidRDefault="006F3DD1">
      <w:pPr>
        <w:pStyle w:val="BodyText"/>
        <w:spacing w:before="1"/>
        <w:rPr>
          <w:rFonts w:asciiTheme="majorHAnsi" w:hAnsiTheme="majorHAnsi"/>
        </w:rPr>
      </w:pPr>
    </w:p>
    <w:p w:rsidR="002D518E" w:rsidRPr="006B25C4" w:rsidRDefault="002D518E" w:rsidP="0090520C">
      <w:pPr>
        <w:spacing w:line="225" w:lineRule="auto"/>
        <w:ind w:right="111" w:firstLine="720"/>
        <w:rPr>
          <w:rFonts w:asciiTheme="majorHAnsi" w:hAnsiTheme="majorHAnsi"/>
          <w:b/>
          <w:i/>
          <w:sz w:val="24"/>
          <w:szCs w:val="24"/>
        </w:rPr>
      </w:pPr>
      <w:r w:rsidRPr="006B25C4">
        <w:rPr>
          <w:rFonts w:asciiTheme="majorHAnsi" w:hAnsiTheme="majorHAnsi"/>
          <w:b/>
          <w:i/>
          <w:sz w:val="24"/>
          <w:szCs w:val="24"/>
        </w:rPr>
        <w:t>The summary is based on Members’ Reports as submitted by Members of the Typhoon</w:t>
      </w:r>
      <w:r w:rsidRPr="006B25C4">
        <w:rPr>
          <w:rFonts w:asciiTheme="majorHAnsi" w:hAnsiTheme="majorHAnsi"/>
          <w:b/>
          <w:i/>
          <w:spacing w:val="-11"/>
          <w:sz w:val="24"/>
          <w:szCs w:val="24"/>
        </w:rPr>
        <w:t xml:space="preserve"> </w:t>
      </w:r>
      <w:r w:rsidRPr="006B25C4">
        <w:rPr>
          <w:rFonts w:asciiTheme="majorHAnsi" w:hAnsiTheme="majorHAnsi"/>
          <w:b/>
          <w:i/>
          <w:sz w:val="24"/>
          <w:szCs w:val="24"/>
        </w:rPr>
        <w:t>Committee</w:t>
      </w:r>
      <w:r w:rsidRPr="006B25C4">
        <w:rPr>
          <w:rFonts w:asciiTheme="majorHAnsi" w:hAnsiTheme="majorHAnsi"/>
          <w:b/>
          <w:i/>
          <w:spacing w:val="-11"/>
          <w:sz w:val="24"/>
          <w:szCs w:val="24"/>
        </w:rPr>
        <w:t xml:space="preserve"> </w:t>
      </w:r>
      <w:r w:rsidRPr="006B25C4">
        <w:rPr>
          <w:rFonts w:asciiTheme="majorHAnsi" w:hAnsiTheme="majorHAnsi"/>
          <w:b/>
          <w:i/>
          <w:sz w:val="24"/>
          <w:szCs w:val="24"/>
        </w:rPr>
        <w:t>for</w:t>
      </w:r>
      <w:r w:rsidRPr="006B25C4">
        <w:rPr>
          <w:rFonts w:asciiTheme="majorHAnsi" w:hAnsiTheme="majorHAnsi"/>
          <w:b/>
          <w:i/>
          <w:spacing w:val="-11"/>
          <w:sz w:val="24"/>
          <w:szCs w:val="24"/>
        </w:rPr>
        <w:t xml:space="preserve"> </w:t>
      </w:r>
      <w:r w:rsidRPr="006B25C4">
        <w:rPr>
          <w:rFonts w:asciiTheme="majorHAnsi" w:hAnsiTheme="majorHAnsi"/>
          <w:b/>
          <w:i/>
          <w:sz w:val="24"/>
          <w:szCs w:val="24"/>
        </w:rPr>
        <w:t>the</w:t>
      </w:r>
      <w:r w:rsidR="00F86474">
        <w:rPr>
          <w:rFonts w:asciiTheme="majorHAnsi" w:hAnsiTheme="majorHAnsi"/>
          <w:b/>
          <w:i/>
          <w:spacing w:val="-11"/>
          <w:sz w:val="24"/>
          <w:szCs w:val="24"/>
        </w:rPr>
        <w:t xml:space="preserve"> 14</w:t>
      </w:r>
      <w:r w:rsidR="0090520C" w:rsidRPr="006B25C4">
        <w:rPr>
          <w:rFonts w:asciiTheme="majorHAnsi" w:hAnsiTheme="majorHAnsi"/>
          <w:b/>
          <w:i/>
          <w:spacing w:val="-11"/>
          <w:sz w:val="24"/>
          <w:szCs w:val="24"/>
          <w:vertAlign w:val="superscript"/>
        </w:rPr>
        <w:t>th</w:t>
      </w:r>
      <w:r w:rsidR="0090520C" w:rsidRPr="006B25C4">
        <w:rPr>
          <w:rFonts w:asciiTheme="majorHAnsi" w:hAnsiTheme="majorHAnsi"/>
          <w:b/>
          <w:i/>
          <w:spacing w:val="-11"/>
          <w:sz w:val="24"/>
          <w:szCs w:val="24"/>
        </w:rPr>
        <w:t xml:space="preserve"> I</w:t>
      </w:r>
      <w:r w:rsidRPr="006B25C4">
        <w:rPr>
          <w:rFonts w:asciiTheme="majorHAnsi" w:hAnsiTheme="majorHAnsi"/>
          <w:b/>
          <w:i/>
          <w:sz w:val="24"/>
          <w:szCs w:val="24"/>
        </w:rPr>
        <w:t>WS</w:t>
      </w:r>
      <w:r w:rsidRPr="006B25C4">
        <w:rPr>
          <w:rFonts w:asciiTheme="majorHAnsi" w:hAnsiTheme="majorHAnsi"/>
          <w:b/>
          <w:i/>
          <w:spacing w:val="-11"/>
          <w:sz w:val="24"/>
          <w:szCs w:val="24"/>
        </w:rPr>
        <w:t xml:space="preserve"> </w:t>
      </w:r>
      <w:r w:rsidRPr="006B25C4">
        <w:rPr>
          <w:rFonts w:asciiTheme="majorHAnsi" w:hAnsiTheme="majorHAnsi"/>
          <w:b/>
          <w:i/>
          <w:sz w:val="24"/>
          <w:szCs w:val="24"/>
        </w:rPr>
        <w:t>in</w:t>
      </w:r>
      <w:r w:rsidRPr="006B25C4">
        <w:rPr>
          <w:rFonts w:asciiTheme="majorHAnsi" w:hAnsiTheme="majorHAnsi"/>
          <w:b/>
          <w:i/>
          <w:spacing w:val="-11"/>
          <w:sz w:val="24"/>
          <w:szCs w:val="24"/>
        </w:rPr>
        <w:t xml:space="preserve"> </w:t>
      </w:r>
      <w:r w:rsidR="00F86474">
        <w:rPr>
          <w:rFonts w:asciiTheme="majorHAnsi" w:hAnsiTheme="majorHAnsi"/>
          <w:b/>
          <w:i/>
          <w:sz w:val="24"/>
          <w:szCs w:val="24"/>
        </w:rPr>
        <w:t>Guam, USA on 4-7</w:t>
      </w:r>
      <w:r w:rsidR="00F86474">
        <w:rPr>
          <w:rFonts w:asciiTheme="majorHAnsi" w:hAnsiTheme="majorHAnsi"/>
          <w:b/>
          <w:i/>
          <w:sz w:val="24"/>
          <w:szCs w:val="24"/>
          <w:shd w:val="clear" w:color="auto" w:fill="FFFFFF"/>
        </w:rPr>
        <w:t xml:space="preserve"> November 2019</w:t>
      </w:r>
      <w:r w:rsidR="00435938" w:rsidRPr="006B25C4">
        <w:rPr>
          <w:rFonts w:asciiTheme="majorHAnsi" w:hAnsiTheme="majorHAnsi"/>
          <w:b/>
          <w:i/>
          <w:sz w:val="24"/>
          <w:szCs w:val="24"/>
        </w:rPr>
        <w:t xml:space="preserve">.  The full reports may be found in the </w:t>
      </w:r>
      <w:r w:rsidR="00F86474">
        <w:rPr>
          <w:rFonts w:asciiTheme="majorHAnsi" w:hAnsiTheme="majorHAnsi"/>
          <w:b/>
          <w:i/>
          <w:sz w:val="24"/>
          <w:szCs w:val="24"/>
        </w:rPr>
        <w:t>member reports section of the 14</w:t>
      </w:r>
      <w:r w:rsidR="00435938" w:rsidRPr="006B25C4">
        <w:rPr>
          <w:rFonts w:asciiTheme="majorHAnsi" w:hAnsiTheme="majorHAnsi"/>
          <w:b/>
          <w:i/>
          <w:sz w:val="24"/>
          <w:szCs w:val="24"/>
          <w:vertAlign w:val="superscript"/>
        </w:rPr>
        <w:t>th</w:t>
      </w:r>
      <w:r w:rsidR="00435938" w:rsidRPr="006B25C4">
        <w:rPr>
          <w:rFonts w:asciiTheme="majorHAnsi" w:hAnsiTheme="majorHAnsi"/>
          <w:b/>
          <w:i/>
          <w:sz w:val="24"/>
          <w:szCs w:val="24"/>
        </w:rPr>
        <w:t xml:space="preserve"> IWS website.</w:t>
      </w:r>
    </w:p>
    <w:p w:rsidR="002D518E" w:rsidRPr="006B25C4" w:rsidRDefault="002D518E" w:rsidP="002D518E">
      <w:pPr>
        <w:spacing w:line="225" w:lineRule="auto"/>
        <w:ind w:left="115" w:right="111" w:firstLine="960"/>
        <w:rPr>
          <w:rFonts w:asciiTheme="majorHAnsi" w:hAnsiTheme="majorHAnsi"/>
          <w:b/>
          <w:i/>
          <w:sz w:val="24"/>
          <w:szCs w:val="24"/>
        </w:rPr>
      </w:pPr>
    </w:p>
    <w:p w:rsidR="006F3DD1" w:rsidRPr="006B25C4" w:rsidRDefault="0057019D" w:rsidP="002D518E">
      <w:pPr>
        <w:spacing w:line="225" w:lineRule="auto"/>
        <w:ind w:right="111"/>
        <w:rPr>
          <w:rFonts w:asciiTheme="majorHAnsi" w:hAnsiTheme="majorHAnsi"/>
          <w:i/>
          <w:sz w:val="24"/>
          <w:szCs w:val="24"/>
        </w:rPr>
      </w:pPr>
      <w:hyperlink r:id="rId7" w:history="1">
        <w:r w:rsidR="00F86474" w:rsidRPr="00E76595">
          <w:rPr>
            <w:rStyle w:val="Hyperlink"/>
            <w:rFonts w:asciiTheme="majorHAnsi" w:hAnsiTheme="majorHAnsi"/>
            <w:i/>
            <w:sz w:val="24"/>
            <w:szCs w:val="24"/>
            <w:u w:color="0000FF"/>
          </w:rPr>
          <w:t>http://www.typhooncommittee.org/14IWS/Members14IWS.html</w:t>
        </w:r>
      </w:hyperlink>
    </w:p>
    <w:p w:rsidR="006F3DD1" w:rsidRPr="006B25C4" w:rsidRDefault="006F3DD1">
      <w:pPr>
        <w:pStyle w:val="BodyText"/>
        <w:spacing w:before="7"/>
        <w:rPr>
          <w:rFonts w:asciiTheme="majorHAnsi" w:hAnsiTheme="majorHAnsi"/>
          <w:i/>
        </w:rPr>
      </w:pPr>
    </w:p>
    <w:p w:rsidR="006F3DD1" w:rsidRPr="00EE18C1" w:rsidRDefault="002D518E" w:rsidP="00EE18C1">
      <w:pPr>
        <w:pStyle w:val="Heading2"/>
        <w:numPr>
          <w:ilvl w:val="0"/>
          <w:numId w:val="2"/>
        </w:numPr>
        <w:tabs>
          <w:tab w:val="left" w:pos="0"/>
        </w:tabs>
        <w:ind w:left="0" w:firstLine="0"/>
        <w:rPr>
          <w:rFonts w:asciiTheme="majorHAnsi" w:hAnsiTheme="majorHAnsi"/>
        </w:rPr>
      </w:pPr>
      <w:r w:rsidRPr="006B25C4">
        <w:rPr>
          <w:rFonts w:asciiTheme="majorHAnsi" w:hAnsiTheme="majorHAnsi"/>
          <w:u w:val="single"/>
        </w:rPr>
        <w:t>Objectives</w:t>
      </w:r>
    </w:p>
    <w:p w:rsidR="006F3DD1" w:rsidRPr="006B25C4" w:rsidRDefault="002D518E" w:rsidP="009063DB">
      <w:pPr>
        <w:pStyle w:val="ListParagraph"/>
        <w:tabs>
          <w:tab w:val="left" w:pos="0"/>
        </w:tabs>
        <w:spacing w:before="90"/>
        <w:ind w:left="0"/>
        <w:rPr>
          <w:rFonts w:asciiTheme="majorHAnsi" w:hAnsiTheme="majorHAnsi"/>
          <w:sz w:val="24"/>
          <w:szCs w:val="24"/>
        </w:rPr>
      </w:pPr>
      <w:r w:rsidRPr="006B25C4">
        <w:rPr>
          <w:rFonts w:asciiTheme="majorHAnsi" w:hAnsiTheme="majorHAnsi"/>
          <w:sz w:val="24"/>
          <w:szCs w:val="24"/>
        </w:rPr>
        <w:t>The objectives of this Summary are to extract the key aspects of tropical cyclone impact</w:t>
      </w:r>
      <w:r w:rsidR="00984EFC" w:rsidRPr="006B25C4">
        <w:rPr>
          <w:rFonts w:asciiTheme="majorHAnsi" w:hAnsiTheme="majorHAnsi"/>
          <w:sz w:val="24"/>
          <w:szCs w:val="24"/>
        </w:rPr>
        <w:t>s</w:t>
      </w:r>
      <w:r w:rsidRPr="006B25C4">
        <w:rPr>
          <w:rFonts w:asciiTheme="majorHAnsi" w:hAnsiTheme="majorHAnsi"/>
          <w:spacing w:val="-9"/>
          <w:sz w:val="24"/>
          <w:szCs w:val="24"/>
        </w:rPr>
        <w:t xml:space="preserve"> </w:t>
      </w:r>
      <w:r w:rsidRPr="006B25C4">
        <w:rPr>
          <w:rFonts w:asciiTheme="majorHAnsi" w:hAnsiTheme="majorHAnsi"/>
          <w:sz w:val="24"/>
          <w:szCs w:val="24"/>
        </w:rPr>
        <w:t>and</w:t>
      </w:r>
      <w:r w:rsidRPr="006B25C4">
        <w:rPr>
          <w:rFonts w:asciiTheme="majorHAnsi" w:hAnsiTheme="majorHAnsi"/>
          <w:spacing w:val="-9"/>
          <w:sz w:val="24"/>
          <w:szCs w:val="24"/>
        </w:rPr>
        <w:t xml:space="preserve"> </w:t>
      </w:r>
      <w:r w:rsidRPr="006B25C4">
        <w:rPr>
          <w:rFonts w:asciiTheme="majorHAnsi" w:hAnsiTheme="majorHAnsi"/>
          <w:sz w:val="24"/>
          <w:szCs w:val="24"/>
        </w:rPr>
        <w:t>related</w:t>
      </w:r>
      <w:r w:rsidRPr="006B25C4">
        <w:rPr>
          <w:rFonts w:asciiTheme="majorHAnsi" w:hAnsiTheme="majorHAnsi"/>
          <w:spacing w:val="-9"/>
          <w:sz w:val="24"/>
          <w:szCs w:val="24"/>
        </w:rPr>
        <w:t xml:space="preserve"> </w:t>
      </w:r>
      <w:r w:rsidRPr="006B25C4">
        <w:rPr>
          <w:rFonts w:asciiTheme="majorHAnsi" w:hAnsiTheme="majorHAnsi"/>
          <w:sz w:val="24"/>
          <w:szCs w:val="24"/>
        </w:rPr>
        <w:t>topical</w:t>
      </w:r>
      <w:r w:rsidRPr="006B25C4">
        <w:rPr>
          <w:rFonts w:asciiTheme="majorHAnsi" w:hAnsiTheme="majorHAnsi"/>
          <w:spacing w:val="-9"/>
          <w:sz w:val="24"/>
          <w:szCs w:val="24"/>
        </w:rPr>
        <w:t xml:space="preserve"> </w:t>
      </w:r>
      <w:r w:rsidRPr="006B25C4">
        <w:rPr>
          <w:rFonts w:asciiTheme="majorHAnsi" w:hAnsiTheme="majorHAnsi"/>
          <w:sz w:val="24"/>
          <w:szCs w:val="24"/>
        </w:rPr>
        <w:t>issues</w:t>
      </w:r>
      <w:r w:rsidRPr="006B25C4">
        <w:rPr>
          <w:rFonts w:asciiTheme="majorHAnsi" w:hAnsiTheme="majorHAnsi"/>
          <w:spacing w:val="-9"/>
          <w:sz w:val="24"/>
          <w:szCs w:val="24"/>
        </w:rPr>
        <w:t xml:space="preserve"> </w:t>
      </w:r>
      <w:r w:rsidRPr="006B25C4">
        <w:rPr>
          <w:rFonts w:asciiTheme="majorHAnsi" w:hAnsiTheme="majorHAnsi"/>
          <w:sz w:val="24"/>
          <w:szCs w:val="24"/>
        </w:rPr>
        <w:t>of</w:t>
      </w:r>
      <w:r w:rsidRPr="006B25C4">
        <w:rPr>
          <w:rFonts w:asciiTheme="majorHAnsi" w:hAnsiTheme="majorHAnsi"/>
          <w:spacing w:val="-9"/>
          <w:sz w:val="24"/>
          <w:szCs w:val="24"/>
        </w:rPr>
        <w:t xml:space="preserve"> </w:t>
      </w:r>
      <w:r w:rsidRPr="006B25C4">
        <w:rPr>
          <w:rFonts w:asciiTheme="majorHAnsi" w:hAnsiTheme="majorHAnsi"/>
          <w:sz w:val="24"/>
          <w:szCs w:val="24"/>
        </w:rPr>
        <w:t>regional</w:t>
      </w:r>
      <w:r w:rsidRPr="006B25C4">
        <w:rPr>
          <w:rFonts w:asciiTheme="majorHAnsi" w:hAnsiTheme="majorHAnsi"/>
          <w:spacing w:val="-9"/>
          <w:sz w:val="24"/>
          <w:szCs w:val="24"/>
        </w:rPr>
        <w:t xml:space="preserve"> </w:t>
      </w:r>
      <w:r w:rsidRPr="006B25C4">
        <w:rPr>
          <w:rFonts w:asciiTheme="majorHAnsi" w:hAnsiTheme="majorHAnsi"/>
          <w:sz w:val="24"/>
          <w:szCs w:val="24"/>
        </w:rPr>
        <w:t>interest</w:t>
      </w:r>
      <w:r w:rsidRPr="006B25C4">
        <w:rPr>
          <w:rFonts w:asciiTheme="majorHAnsi" w:hAnsiTheme="majorHAnsi"/>
          <w:spacing w:val="-9"/>
          <w:sz w:val="24"/>
          <w:szCs w:val="24"/>
        </w:rPr>
        <w:t xml:space="preserve"> </w:t>
      </w:r>
      <w:r w:rsidRPr="006B25C4">
        <w:rPr>
          <w:rFonts w:asciiTheme="majorHAnsi" w:hAnsiTheme="majorHAnsi"/>
          <w:sz w:val="24"/>
          <w:szCs w:val="24"/>
        </w:rPr>
        <w:t>in</w:t>
      </w:r>
      <w:r w:rsidRPr="006B25C4">
        <w:rPr>
          <w:rFonts w:asciiTheme="majorHAnsi" w:hAnsiTheme="majorHAnsi"/>
          <w:spacing w:val="-9"/>
          <w:sz w:val="24"/>
          <w:szCs w:val="24"/>
        </w:rPr>
        <w:t xml:space="preserve"> </w:t>
      </w:r>
      <w:r w:rsidRPr="006B25C4">
        <w:rPr>
          <w:rFonts w:asciiTheme="majorHAnsi" w:hAnsiTheme="majorHAnsi"/>
          <w:sz w:val="24"/>
          <w:szCs w:val="24"/>
        </w:rPr>
        <w:t>Members’</w:t>
      </w:r>
      <w:r w:rsidRPr="006B25C4">
        <w:rPr>
          <w:rFonts w:asciiTheme="majorHAnsi" w:hAnsiTheme="majorHAnsi"/>
          <w:spacing w:val="-26"/>
          <w:sz w:val="24"/>
          <w:szCs w:val="24"/>
        </w:rPr>
        <w:t xml:space="preserve"> </w:t>
      </w:r>
      <w:r w:rsidRPr="006B25C4">
        <w:rPr>
          <w:rFonts w:asciiTheme="majorHAnsi" w:hAnsiTheme="majorHAnsi"/>
          <w:sz w:val="24"/>
          <w:szCs w:val="24"/>
        </w:rPr>
        <w:t>countries</w:t>
      </w:r>
      <w:r w:rsidRPr="006B25C4">
        <w:rPr>
          <w:rFonts w:asciiTheme="majorHAnsi" w:hAnsiTheme="majorHAnsi"/>
          <w:spacing w:val="-9"/>
          <w:sz w:val="24"/>
          <w:szCs w:val="24"/>
        </w:rPr>
        <w:t xml:space="preserve"> </w:t>
      </w:r>
      <w:r w:rsidRPr="006B25C4">
        <w:rPr>
          <w:rFonts w:asciiTheme="majorHAnsi" w:hAnsiTheme="majorHAnsi"/>
          <w:sz w:val="24"/>
          <w:szCs w:val="24"/>
        </w:rPr>
        <w:t>or</w:t>
      </w:r>
      <w:r w:rsidRPr="006B25C4">
        <w:rPr>
          <w:rFonts w:asciiTheme="majorHAnsi" w:hAnsiTheme="majorHAnsi"/>
          <w:spacing w:val="-9"/>
          <w:sz w:val="24"/>
          <w:szCs w:val="24"/>
        </w:rPr>
        <w:t xml:space="preserve"> </w:t>
      </w:r>
      <w:r w:rsidRPr="006B25C4">
        <w:rPr>
          <w:rFonts w:asciiTheme="majorHAnsi" w:hAnsiTheme="majorHAnsi"/>
          <w:sz w:val="24"/>
          <w:szCs w:val="24"/>
        </w:rPr>
        <w:t>territories,</w:t>
      </w:r>
      <w:r w:rsidRPr="006B25C4">
        <w:rPr>
          <w:rFonts w:asciiTheme="majorHAnsi" w:hAnsiTheme="majorHAnsi"/>
          <w:spacing w:val="-10"/>
          <w:sz w:val="24"/>
          <w:szCs w:val="24"/>
        </w:rPr>
        <w:t xml:space="preserve"> </w:t>
      </w:r>
      <w:r w:rsidRPr="006B25C4">
        <w:rPr>
          <w:rFonts w:asciiTheme="majorHAnsi" w:hAnsiTheme="majorHAnsi"/>
          <w:sz w:val="24"/>
          <w:szCs w:val="24"/>
        </w:rPr>
        <w:t>and</w:t>
      </w:r>
      <w:r w:rsidRPr="006B25C4">
        <w:rPr>
          <w:rFonts w:asciiTheme="majorHAnsi" w:hAnsiTheme="majorHAnsi"/>
          <w:spacing w:val="-9"/>
          <w:sz w:val="24"/>
          <w:szCs w:val="24"/>
        </w:rPr>
        <w:t xml:space="preserve"> </w:t>
      </w:r>
      <w:r w:rsidRPr="006B25C4">
        <w:rPr>
          <w:rFonts w:asciiTheme="majorHAnsi" w:hAnsiTheme="majorHAnsi"/>
          <w:sz w:val="24"/>
          <w:szCs w:val="24"/>
        </w:rPr>
        <w:t>to consolidate the information and observations</w:t>
      </w:r>
      <w:r w:rsidRPr="006B25C4">
        <w:rPr>
          <w:rFonts w:asciiTheme="majorHAnsi" w:hAnsiTheme="majorHAnsi"/>
          <w:spacing w:val="-4"/>
          <w:sz w:val="24"/>
          <w:szCs w:val="24"/>
        </w:rPr>
        <w:t xml:space="preserve"> </w:t>
      </w:r>
      <w:r w:rsidRPr="006B25C4">
        <w:rPr>
          <w:rFonts w:asciiTheme="majorHAnsi" w:hAnsiTheme="majorHAnsi"/>
          <w:sz w:val="24"/>
          <w:szCs w:val="24"/>
        </w:rPr>
        <w:t>for:</w:t>
      </w:r>
    </w:p>
    <w:p w:rsidR="006F3DD1" w:rsidRPr="006B25C4" w:rsidRDefault="006F3DD1">
      <w:pPr>
        <w:pStyle w:val="BodyText"/>
        <w:spacing w:before="11"/>
        <w:rPr>
          <w:rFonts w:asciiTheme="majorHAnsi" w:hAnsiTheme="majorHAnsi"/>
        </w:rPr>
      </w:pPr>
    </w:p>
    <w:p w:rsidR="006F3DD1" w:rsidRPr="006B25C4" w:rsidRDefault="002D518E" w:rsidP="009063DB">
      <w:pPr>
        <w:pStyle w:val="ListParagraph"/>
        <w:numPr>
          <w:ilvl w:val="2"/>
          <w:numId w:val="2"/>
        </w:numPr>
        <w:tabs>
          <w:tab w:val="left" w:pos="956"/>
        </w:tabs>
        <w:ind w:right="542" w:hanging="686"/>
        <w:rPr>
          <w:rFonts w:asciiTheme="majorHAnsi" w:hAnsiTheme="majorHAnsi"/>
          <w:sz w:val="24"/>
          <w:szCs w:val="24"/>
        </w:rPr>
      </w:pPr>
      <w:r w:rsidRPr="006B25C4">
        <w:rPr>
          <w:rFonts w:asciiTheme="majorHAnsi" w:hAnsiTheme="majorHAnsi"/>
          <w:sz w:val="24"/>
          <w:szCs w:val="24"/>
        </w:rPr>
        <w:t xml:space="preserve">the attention of Members’ governments </w:t>
      </w:r>
      <w:r w:rsidR="00715527" w:rsidRPr="006B25C4">
        <w:rPr>
          <w:rFonts w:asciiTheme="majorHAnsi" w:hAnsiTheme="majorHAnsi"/>
          <w:sz w:val="24"/>
          <w:szCs w:val="24"/>
        </w:rPr>
        <w:t>to encourage</w:t>
      </w:r>
      <w:r w:rsidRPr="006B25C4">
        <w:rPr>
          <w:rFonts w:asciiTheme="majorHAnsi" w:hAnsiTheme="majorHAnsi"/>
          <w:sz w:val="24"/>
          <w:szCs w:val="24"/>
        </w:rPr>
        <w:t xml:space="preserve"> allocating the necessary resources</w:t>
      </w:r>
      <w:r w:rsidRPr="006B25C4">
        <w:rPr>
          <w:rFonts w:asciiTheme="majorHAnsi" w:hAnsiTheme="majorHAnsi"/>
          <w:spacing w:val="-11"/>
          <w:sz w:val="24"/>
          <w:szCs w:val="24"/>
        </w:rPr>
        <w:t xml:space="preserve"> </w:t>
      </w:r>
      <w:r w:rsidRPr="006B25C4">
        <w:rPr>
          <w:rFonts w:asciiTheme="majorHAnsi" w:hAnsiTheme="majorHAnsi"/>
          <w:sz w:val="24"/>
          <w:szCs w:val="24"/>
        </w:rPr>
        <w:t>for</w:t>
      </w:r>
      <w:r w:rsidRPr="006B25C4">
        <w:rPr>
          <w:rFonts w:asciiTheme="majorHAnsi" w:hAnsiTheme="majorHAnsi"/>
          <w:spacing w:val="-11"/>
          <w:sz w:val="24"/>
          <w:szCs w:val="24"/>
        </w:rPr>
        <w:t xml:space="preserve"> </w:t>
      </w:r>
      <w:r w:rsidRPr="006B25C4">
        <w:rPr>
          <w:rFonts w:asciiTheme="majorHAnsi" w:hAnsiTheme="majorHAnsi"/>
          <w:sz w:val="24"/>
          <w:szCs w:val="24"/>
        </w:rPr>
        <w:t>the</w:t>
      </w:r>
      <w:r w:rsidRPr="006B25C4">
        <w:rPr>
          <w:rFonts w:asciiTheme="majorHAnsi" w:hAnsiTheme="majorHAnsi"/>
          <w:spacing w:val="-11"/>
          <w:sz w:val="24"/>
          <w:szCs w:val="24"/>
        </w:rPr>
        <w:t xml:space="preserve"> </w:t>
      </w:r>
      <w:r w:rsidRPr="006B25C4">
        <w:rPr>
          <w:rFonts w:asciiTheme="majorHAnsi" w:hAnsiTheme="majorHAnsi"/>
          <w:sz w:val="24"/>
          <w:szCs w:val="24"/>
        </w:rPr>
        <w:t>purposes</w:t>
      </w:r>
      <w:r w:rsidRPr="006B25C4">
        <w:rPr>
          <w:rFonts w:asciiTheme="majorHAnsi" w:hAnsiTheme="majorHAnsi"/>
          <w:spacing w:val="-11"/>
          <w:sz w:val="24"/>
          <w:szCs w:val="24"/>
        </w:rPr>
        <w:t xml:space="preserve"> </w:t>
      </w:r>
      <w:r w:rsidRPr="006B25C4">
        <w:rPr>
          <w:rFonts w:asciiTheme="majorHAnsi" w:hAnsiTheme="majorHAnsi"/>
          <w:sz w:val="24"/>
          <w:szCs w:val="24"/>
        </w:rPr>
        <w:t>of</w:t>
      </w:r>
      <w:r w:rsidRPr="006B25C4">
        <w:rPr>
          <w:rFonts w:asciiTheme="majorHAnsi" w:hAnsiTheme="majorHAnsi"/>
          <w:spacing w:val="-11"/>
          <w:sz w:val="24"/>
          <w:szCs w:val="24"/>
        </w:rPr>
        <w:t xml:space="preserve"> </w:t>
      </w:r>
      <w:r w:rsidRPr="006B25C4">
        <w:rPr>
          <w:rFonts w:asciiTheme="majorHAnsi" w:hAnsiTheme="majorHAnsi"/>
          <w:sz w:val="24"/>
          <w:szCs w:val="24"/>
        </w:rPr>
        <w:t>operational</w:t>
      </w:r>
      <w:r w:rsidRPr="006B25C4">
        <w:rPr>
          <w:rFonts w:asciiTheme="majorHAnsi" w:hAnsiTheme="majorHAnsi"/>
          <w:spacing w:val="-10"/>
          <w:sz w:val="24"/>
          <w:szCs w:val="24"/>
        </w:rPr>
        <w:t xml:space="preserve"> </w:t>
      </w:r>
      <w:r w:rsidRPr="006B25C4">
        <w:rPr>
          <w:rFonts w:asciiTheme="majorHAnsi" w:hAnsiTheme="majorHAnsi"/>
          <w:sz w:val="24"/>
          <w:szCs w:val="24"/>
        </w:rPr>
        <w:t>effectiveness</w:t>
      </w:r>
      <w:r w:rsidRPr="006B25C4">
        <w:rPr>
          <w:rFonts w:asciiTheme="majorHAnsi" w:hAnsiTheme="majorHAnsi"/>
          <w:spacing w:val="-10"/>
          <w:sz w:val="24"/>
          <w:szCs w:val="24"/>
        </w:rPr>
        <w:t xml:space="preserve"> </w:t>
      </w:r>
      <w:r w:rsidRPr="006B25C4">
        <w:rPr>
          <w:rFonts w:asciiTheme="majorHAnsi" w:hAnsiTheme="majorHAnsi"/>
          <w:sz w:val="24"/>
          <w:szCs w:val="24"/>
        </w:rPr>
        <w:t>and</w:t>
      </w:r>
      <w:r w:rsidRPr="006B25C4">
        <w:rPr>
          <w:rFonts w:asciiTheme="majorHAnsi" w:hAnsiTheme="majorHAnsi"/>
          <w:spacing w:val="-11"/>
          <w:sz w:val="24"/>
          <w:szCs w:val="24"/>
        </w:rPr>
        <w:t xml:space="preserve"> </w:t>
      </w:r>
      <w:r w:rsidRPr="006B25C4">
        <w:rPr>
          <w:rFonts w:asciiTheme="majorHAnsi" w:hAnsiTheme="majorHAnsi"/>
          <w:sz w:val="24"/>
          <w:szCs w:val="24"/>
        </w:rPr>
        <w:t>readiness, disaster mitigation and risk reduction, or leveraging available resources and support for technology transfer and capacity-building through regional cooperation initiatives;</w:t>
      </w:r>
      <w:r w:rsidRPr="006B25C4">
        <w:rPr>
          <w:rFonts w:asciiTheme="majorHAnsi" w:hAnsiTheme="majorHAnsi"/>
          <w:spacing w:val="-2"/>
          <w:sz w:val="24"/>
          <w:szCs w:val="24"/>
        </w:rPr>
        <w:t xml:space="preserve"> </w:t>
      </w:r>
      <w:r w:rsidRPr="006B25C4">
        <w:rPr>
          <w:rFonts w:asciiTheme="majorHAnsi" w:hAnsiTheme="majorHAnsi"/>
          <w:sz w:val="24"/>
          <w:szCs w:val="24"/>
        </w:rPr>
        <w:t>and</w:t>
      </w:r>
    </w:p>
    <w:p w:rsidR="006F3DD1" w:rsidRPr="006B25C4" w:rsidRDefault="006F3DD1" w:rsidP="009063DB">
      <w:pPr>
        <w:pStyle w:val="BodyText"/>
        <w:ind w:hanging="686"/>
        <w:rPr>
          <w:rFonts w:asciiTheme="majorHAnsi" w:hAnsiTheme="majorHAnsi"/>
        </w:rPr>
      </w:pPr>
    </w:p>
    <w:p w:rsidR="006F3DD1" w:rsidRPr="00EE18C1" w:rsidRDefault="002D518E" w:rsidP="00EE18C1">
      <w:pPr>
        <w:pStyle w:val="ListParagraph"/>
        <w:numPr>
          <w:ilvl w:val="2"/>
          <w:numId w:val="2"/>
        </w:numPr>
        <w:tabs>
          <w:tab w:val="left" w:pos="956"/>
        </w:tabs>
        <w:ind w:right="661" w:hanging="686"/>
        <w:rPr>
          <w:rFonts w:asciiTheme="majorHAnsi" w:hAnsiTheme="majorHAnsi"/>
          <w:sz w:val="24"/>
          <w:szCs w:val="24"/>
        </w:rPr>
      </w:pPr>
      <w:r w:rsidRPr="006B25C4">
        <w:rPr>
          <w:rFonts w:asciiTheme="majorHAnsi" w:hAnsiTheme="majorHAnsi"/>
          <w:sz w:val="24"/>
          <w:szCs w:val="24"/>
        </w:rPr>
        <w:t xml:space="preserve">reference by sponsoring agencies with a view to coordinating and synergizing effort in the planning of relevant projects and </w:t>
      </w:r>
      <w:proofErr w:type="spellStart"/>
      <w:r w:rsidRPr="006B25C4">
        <w:rPr>
          <w:rFonts w:asciiTheme="majorHAnsi" w:hAnsiTheme="majorHAnsi"/>
          <w:sz w:val="24"/>
          <w:szCs w:val="24"/>
        </w:rPr>
        <w:t>programmes</w:t>
      </w:r>
      <w:proofErr w:type="spellEnd"/>
      <w:r w:rsidRPr="006B25C4">
        <w:rPr>
          <w:rFonts w:asciiTheme="majorHAnsi" w:hAnsiTheme="majorHAnsi"/>
          <w:sz w:val="24"/>
          <w:szCs w:val="24"/>
        </w:rPr>
        <w:t xml:space="preserve"> for such purposes,</w:t>
      </w:r>
      <w:r w:rsidRPr="006B25C4">
        <w:rPr>
          <w:rFonts w:asciiTheme="majorHAnsi" w:hAnsiTheme="majorHAnsi"/>
          <w:spacing w:val="-13"/>
          <w:sz w:val="24"/>
          <w:szCs w:val="24"/>
        </w:rPr>
        <w:t xml:space="preserve"> </w:t>
      </w:r>
      <w:r w:rsidRPr="006B25C4">
        <w:rPr>
          <w:rFonts w:asciiTheme="majorHAnsi" w:hAnsiTheme="majorHAnsi"/>
          <w:sz w:val="24"/>
          <w:szCs w:val="24"/>
        </w:rPr>
        <w:t>as well as channeling resources and aids into identified areas of gaps or</w:t>
      </w:r>
      <w:r w:rsidRPr="006B25C4">
        <w:rPr>
          <w:rFonts w:asciiTheme="majorHAnsi" w:hAnsiTheme="majorHAnsi"/>
          <w:spacing w:val="-11"/>
          <w:sz w:val="24"/>
          <w:szCs w:val="24"/>
        </w:rPr>
        <w:t xml:space="preserve"> </w:t>
      </w:r>
      <w:r w:rsidRPr="006B25C4">
        <w:rPr>
          <w:rFonts w:asciiTheme="majorHAnsi" w:hAnsiTheme="majorHAnsi"/>
          <w:sz w:val="24"/>
          <w:szCs w:val="24"/>
        </w:rPr>
        <w:t>needs.</w:t>
      </w:r>
    </w:p>
    <w:p w:rsidR="006F3DD1" w:rsidRPr="006B25C4" w:rsidRDefault="006F3DD1">
      <w:pPr>
        <w:pStyle w:val="BodyText"/>
        <w:spacing w:before="5"/>
        <w:rPr>
          <w:rFonts w:asciiTheme="majorHAnsi" w:hAnsiTheme="majorHAnsi"/>
        </w:rPr>
      </w:pPr>
    </w:p>
    <w:p w:rsidR="006F3DD1" w:rsidRPr="006B25C4" w:rsidRDefault="002D518E" w:rsidP="00435938">
      <w:pPr>
        <w:pStyle w:val="Heading2"/>
        <w:numPr>
          <w:ilvl w:val="0"/>
          <w:numId w:val="2"/>
        </w:numPr>
        <w:tabs>
          <w:tab w:val="left" w:pos="0"/>
        </w:tabs>
        <w:spacing w:before="0"/>
        <w:ind w:left="0" w:firstLine="0"/>
        <w:jc w:val="both"/>
        <w:rPr>
          <w:rFonts w:asciiTheme="majorHAnsi" w:hAnsiTheme="majorHAnsi"/>
        </w:rPr>
      </w:pPr>
      <w:r w:rsidRPr="006B25C4">
        <w:rPr>
          <w:rFonts w:asciiTheme="majorHAnsi" w:hAnsiTheme="majorHAnsi"/>
          <w:u w:val="single"/>
        </w:rPr>
        <w:t>Key Observations in</w:t>
      </w:r>
      <w:r w:rsidRPr="006B25C4">
        <w:rPr>
          <w:rFonts w:asciiTheme="majorHAnsi" w:hAnsiTheme="majorHAnsi"/>
          <w:spacing w:val="-4"/>
          <w:u w:val="single"/>
        </w:rPr>
        <w:t xml:space="preserve"> </w:t>
      </w:r>
      <w:r w:rsidR="00614F18" w:rsidRPr="006B25C4">
        <w:rPr>
          <w:rFonts w:asciiTheme="majorHAnsi" w:hAnsiTheme="majorHAnsi"/>
          <w:u w:val="single"/>
        </w:rPr>
        <w:t>201</w:t>
      </w:r>
      <w:r w:rsidR="00984EFC" w:rsidRPr="006B25C4">
        <w:rPr>
          <w:rFonts w:asciiTheme="majorHAnsi" w:hAnsiTheme="majorHAnsi"/>
          <w:u w:val="single"/>
        </w:rPr>
        <w:t>9</w:t>
      </w:r>
    </w:p>
    <w:p w:rsidR="006F3DD1" w:rsidRPr="006B25C4" w:rsidRDefault="006F3DD1">
      <w:pPr>
        <w:pStyle w:val="BodyText"/>
        <w:spacing w:before="6"/>
        <w:rPr>
          <w:rFonts w:asciiTheme="majorHAnsi" w:hAnsiTheme="majorHAnsi"/>
          <w:b/>
        </w:rPr>
      </w:pPr>
    </w:p>
    <w:p w:rsidR="006F3DD1" w:rsidRPr="006B25C4" w:rsidRDefault="002D518E" w:rsidP="00435938">
      <w:pPr>
        <w:pStyle w:val="Heading3"/>
        <w:numPr>
          <w:ilvl w:val="1"/>
          <w:numId w:val="2"/>
        </w:numPr>
        <w:ind w:left="0" w:firstLine="0"/>
        <w:rPr>
          <w:rFonts w:asciiTheme="majorHAnsi" w:hAnsiTheme="majorHAnsi"/>
          <w:i w:val="0"/>
        </w:rPr>
      </w:pPr>
      <w:r w:rsidRPr="006B25C4">
        <w:rPr>
          <w:rFonts w:asciiTheme="majorHAnsi" w:hAnsiTheme="majorHAnsi"/>
          <w:i w:val="0"/>
        </w:rPr>
        <w:t>Overview</w:t>
      </w:r>
      <w:r w:rsidR="00715527" w:rsidRPr="006B25C4">
        <w:rPr>
          <w:rFonts w:asciiTheme="majorHAnsi" w:hAnsiTheme="majorHAnsi"/>
          <w:i w:val="0"/>
        </w:rPr>
        <w:t xml:space="preserve"> (courtesy RSMC Tokyo)</w:t>
      </w:r>
    </w:p>
    <w:p w:rsidR="006F3DD1" w:rsidRPr="006B25C4" w:rsidRDefault="006F3DD1">
      <w:pPr>
        <w:pStyle w:val="BodyText"/>
        <w:spacing w:before="11"/>
        <w:rPr>
          <w:rFonts w:asciiTheme="majorHAnsi" w:hAnsiTheme="majorHAnsi"/>
          <w:b/>
          <w:i/>
        </w:rPr>
      </w:pPr>
    </w:p>
    <w:p w:rsidR="006F3DD1" w:rsidRPr="006B25C4" w:rsidRDefault="00333579" w:rsidP="005D521E">
      <w:pPr>
        <w:widowControl/>
        <w:adjustRightInd w:val="0"/>
        <w:jc w:val="both"/>
        <w:rPr>
          <w:rFonts w:asciiTheme="majorHAnsi" w:eastAsia="ArialMT" w:hAnsiTheme="majorHAnsi"/>
          <w:sz w:val="24"/>
          <w:szCs w:val="24"/>
        </w:rPr>
      </w:pPr>
      <w:r w:rsidRPr="006B25C4">
        <w:rPr>
          <w:rFonts w:asciiTheme="majorHAnsi" w:hAnsiTheme="majorHAnsi"/>
          <w:sz w:val="24"/>
          <w:szCs w:val="24"/>
        </w:rPr>
        <w:tab/>
      </w:r>
      <w:r w:rsidR="005D521E" w:rsidRPr="006B25C4">
        <w:rPr>
          <w:rFonts w:asciiTheme="majorHAnsi" w:hAnsiTheme="majorHAnsi"/>
          <w:sz w:val="24"/>
          <w:szCs w:val="24"/>
        </w:rPr>
        <w:t xml:space="preserve">In the </w:t>
      </w:r>
      <w:r w:rsidR="005D521E" w:rsidRPr="006B25C4">
        <w:rPr>
          <w:rFonts w:asciiTheme="majorHAnsi" w:eastAsia="ArialMT" w:hAnsiTheme="majorHAnsi"/>
          <w:sz w:val="24"/>
          <w:szCs w:val="24"/>
        </w:rPr>
        <w:t xml:space="preserve">western North Pacific and the South China Sea, </w:t>
      </w:r>
      <w:r w:rsidR="00435938" w:rsidRPr="006B25C4">
        <w:rPr>
          <w:rFonts w:asciiTheme="majorHAnsi" w:eastAsia="ArialMT" w:hAnsiTheme="majorHAnsi"/>
          <w:sz w:val="24"/>
          <w:szCs w:val="24"/>
        </w:rPr>
        <w:t>29 named tropical cyclones</w:t>
      </w:r>
      <w:r w:rsidR="003E1A2E" w:rsidRPr="006B25C4">
        <w:rPr>
          <w:rFonts w:asciiTheme="majorHAnsi" w:eastAsia="ArialMT" w:hAnsiTheme="majorHAnsi"/>
          <w:sz w:val="24"/>
          <w:szCs w:val="24"/>
        </w:rPr>
        <w:t xml:space="preserve"> formed in 2019</w:t>
      </w:r>
      <w:r w:rsidR="005D521E" w:rsidRPr="006B25C4">
        <w:rPr>
          <w:rFonts w:asciiTheme="majorHAnsi" w:eastAsia="ArialMT" w:hAnsiTheme="majorHAnsi"/>
          <w:sz w:val="24"/>
          <w:szCs w:val="24"/>
        </w:rPr>
        <w:t xml:space="preserve">, which was above </w:t>
      </w:r>
      <w:r w:rsidR="003E1A2E" w:rsidRPr="006B25C4">
        <w:rPr>
          <w:rFonts w:asciiTheme="majorHAnsi" w:eastAsia="ArialMT" w:hAnsiTheme="majorHAnsi"/>
          <w:sz w:val="24"/>
          <w:szCs w:val="24"/>
        </w:rPr>
        <w:t xml:space="preserve">the 30-year average.  Seventeen of these </w:t>
      </w:r>
      <w:r w:rsidR="00656D11" w:rsidRPr="006B25C4">
        <w:rPr>
          <w:rFonts w:asciiTheme="majorHAnsi" w:eastAsia="ArialMT" w:hAnsiTheme="majorHAnsi"/>
          <w:sz w:val="24"/>
          <w:szCs w:val="24"/>
        </w:rPr>
        <w:t xml:space="preserve">reached typhoon </w:t>
      </w:r>
      <w:r w:rsidR="005D521E" w:rsidRPr="006B25C4">
        <w:rPr>
          <w:rFonts w:asciiTheme="majorHAnsi" w:eastAsia="ArialMT" w:hAnsiTheme="majorHAnsi"/>
          <w:sz w:val="24"/>
          <w:szCs w:val="24"/>
        </w:rPr>
        <w:t xml:space="preserve">intensity, whose ratio was </w:t>
      </w:r>
      <w:r w:rsidR="003E1A2E" w:rsidRPr="006B25C4">
        <w:rPr>
          <w:rFonts w:asciiTheme="majorHAnsi" w:eastAsia="ArialMT" w:hAnsiTheme="majorHAnsi"/>
          <w:sz w:val="24"/>
          <w:szCs w:val="24"/>
        </w:rPr>
        <w:t>also above</w:t>
      </w:r>
      <w:r w:rsidR="005D521E" w:rsidRPr="006B25C4">
        <w:rPr>
          <w:rFonts w:asciiTheme="majorHAnsi" w:eastAsia="ArialMT" w:hAnsiTheme="majorHAnsi"/>
          <w:sz w:val="24"/>
          <w:szCs w:val="24"/>
        </w:rPr>
        <w:t xml:space="preserve"> the 30-year average.</w:t>
      </w:r>
    </w:p>
    <w:p w:rsidR="005D521E" w:rsidRPr="006B25C4" w:rsidRDefault="005D521E" w:rsidP="005D521E">
      <w:pPr>
        <w:widowControl/>
        <w:adjustRightInd w:val="0"/>
        <w:jc w:val="both"/>
        <w:rPr>
          <w:rFonts w:asciiTheme="majorHAnsi" w:eastAsia="ArialMT" w:hAnsiTheme="majorHAnsi"/>
          <w:sz w:val="24"/>
          <w:szCs w:val="24"/>
        </w:rPr>
      </w:pPr>
    </w:p>
    <w:p w:rsidR="003E1A2E" w:rsidRPr="006B25C4" w:rsidRDefault="003E1A2E" w:rsidP="003E1A2E">
      <w:pPr>
        <w:widowControl/>
        <w:adjustRightInd w:val="0"/>
        <w:ind w:firstLine="720"/>
        <w:jc w:val="both"/>
        <w:rPr>
          <w:rFonts w:asciiTheme="majorHAnsi" w:eastAsia="ArialMT" w:hAnsiTheme="majorHAnsi"/>
          <w:sz w:val="24"/>
          <w:szCs w:val="24"/>
        </w:rPr>
      </w:pPr>
      <w:r w:rsidRPr="006B25C4">
        <w:rPr>
          <w:rFonts w:asciiTheme="majorHAnsi" w:eastAsia="ArialMT" w:hAnsiTheme="majorHAnsi"/>
          <w:sz w:val="24"/>
          <w:szCs w:val="24"/>
        </w:rPr>
        <w:t>The year 2019 started with TC P</w:t>
      </w:r>
      <w:r w:rsidR="00F86474">
        <w:rPr>
          <w:rFonts w:asciiTheme="majorHAnsi" w:eastAsia="ArialMT" w:hAnsiTheme="majorHAnsi"/>
          <w:sz w:val="24"/>
          <w:szCs w:val="24"/>
        </w:rPr>
        <w:t>ABUK</w:t>
      </w:r>
      <w:r w:rsidRPr="006B25C4">
        <w:rPr>
          <w:rFonts w:asciiTheme="majorHAnsi" w:eastAsia="ArialMT" w:hAnsiTheme="majorHAnsi"/>
          <w:sz w:val="24"/>
          <w:szCs w:val="24"/>
        </w:rPr>
        <w:t xml:space="preserve"> that formed at 06 UTC on 1 January. It was the earliest formation since 1951, when the statistical record on TC in RSMC Tokyo – Typhoon Center started. TC P</w:t>
      </w:r>
      <w:r w:rsidR="00F86474">
        <w:rPr>
          <w:rFonts w:asciiTheme="majorHAnsi" w:eastAsia="ArialMT" w:hAnsiTheme="majorHAnsi"/>
          <w:sz w:val="24"/>
          <w:szCs w:val="24"/>
        </w:rPr>
        <w:t>ABUK</w:t>
      </w:r>
      <w:r w:rsidRPr="006B25C4">
        <w:rPr>
          <w:rFonts w:asciiTheme="majorHAnsi" w:eastAsia="ArialMT" w:hAnsiTheme="majorHAnsi"/>
          <w:sz w:val="24"/>
          <w:szCs w:val="24"/>
        </w:rPr>
        <w:t xml:space="preserve"> crossed the border of RSMCs Tokyo and New Delhi moving to the west for the first time in around 21 years</w:t>
      </w:r>
    </w:p>
    <w:p w:rsidR="003E1A2E" w:rsidRPr="006B25C4" w:rsidRDefault="003E1A2E" w:rsidP="005D521E">
      <w:pPr>
        <w:widowControl/>
        <w:adjustRightInd w:val="0"/>
        <w:jc w:val="both"/>
        <w:rPr>
          <w:rFonts w:asciiTheme="majorHAnsi" w:eastAsia="ArialMT" w:hAnsiTheme="majorHAnsi"/>
          <w:sz w:val="24"/>
          <w:szCs w:val="24"/>
        </w:rPr>
      </w:pPr>
    </w:p>
    <w:p w:rsidR="003E1A2E" w:rsidRPr="006B25C4" w:rsidRDefault="003E1A2E" w:rsidP="003E1A2E">
      <w:pPr>
        <w:widowControl/>
        <w:adjustRightInd w:val="0"/>
        <w:ind w:firstLine="720"/>
        <w:jc w:val="both"/>
        <w:rPr>
          <w:rFonts w:asciiTheme="majorHAnsi" w:eastAsia="ArialMT" w:hAnsiTheme="majorHAnsi"/>
          <w:sz w:val="24"/>
          <w:szCs w:val="24"/>
        </w:rPr>
      </w:pPr>
      <w:r w:rsidRPr="006B25C4">
        <w:rPr>
          <w:rFonts w:asciiTheme="majorHAnsi" w:eastAsia="ArialMT" w:hAnsiTheme="majorHAnsi"/>
          <w:sz w:val="24"/>
          <w:szCs w:val="24"/>
        </w:rPr>
        <w:t xml:space="preserve">A notable feature of the season is that no named TC formed from March to mid-June but instead, 26 named TCs formed after July 1; especially, six out of them formed in November which ties with 1964 and 1991 as the largest number of formation for the month since 1951 (see Figure 1). During the months with no named TC, convective activity in the western North Pacific remained suppressed in association with post-El </w:t>
      </w:r>
      <w:r w:rsidRPr="006B25C4">
        <w:rPr>
          <w:rFonts w:asciiTheme="majorHAnsi" w:eastAsia="ArialMT" w:hAnsiTheme="majorHAnsi"/>
          <w:sz w:val="24"/>
          <w:szCs w:val="24"/>
        </w:rPr>
        <w:lastRenderedPageBreak/>
        <w:t>Niño warming in SSTs over the Indian Ocean and southwest monsoon activity was low and delayed. This environmental condition resulted in no formation of TCs. On the other hand, in November, as many as six named TCs formed under favorable atmospheric and oceanic conditions including: above-normal sea surface temperatures (SSTs) in the tropical Pacific east of 160˚E; enhanced cyclonic vorticity between westerly winds along the equator associated with an active MJO phase and equatorial waves and easterly winds in the tropical Pacific south of 20˚N.</w:t>
      </w:r>
    </w:p>
    <w:p w:rsidR="006F3DD1" w:rsidRPr="006B25C4" w:rsidRDefault="006F3DD1" w:rsidP="00656D11">
      <w:pPr>
        <w:widowControl/>
        <w:adjustRightInd w:val="0"/>
        <w:ind w:firstLine="720"/>
        <w:jc w:val="both"/>
        <w:rPr>
          <w:rFonts w:asciiTheme="majorHAnsi" w:eastAsia="ArialMT" w:hAnsiTheme="majorHAnsi"/>
          <w:sz w:val="24"/>
          <w:szCs w:val="24"/>
        </w:rPr>
      </w:pPr>
    </w:p>
    <w:p w:rsidR="00A82E38" w:rsidRPr="006B25C4" w:rsidRDefault="003D0800" w:rsidP="003D0800">
      <w:pPr>
        <w:pStyle w:val="ListParagraph"/>
        <w:numPr>
          <w:ilvl w:val="1"/>
          <w:numId w:val="2"/>
        </w:numPr>
        <w:spacing w:line="235" w:lineRule="auto"/>
        <w:ind w:left="720" w:hanging="720"/>
        <w:rPr>
          <w:rFonts w:asciiTheme="majorHAnsi" w:hAnsiTheme="majorHAnsi"/>
          <w:sz w:val="24"/>
          <w:szCs w:val="24"/>
        </w:rPr>
      </w:pPr>
      <w:r w:rsidRPr="006B25C4">
        <w:rPr>
          <w:rFonts w:asciiTheme="majorHAnsi" w:hAnsiTheme="majorHAnsi"/>
          <w:sz w:val="24"/>
          <w:szCs w:val="24"/>
        </w:rPr>
        <w:t xml:space="preserve">Summary of Member contributions supporting the 21 Priorities of the Typhoon Committee Strategic Plan 2017-2021. </w:t>
      </w:r>
    </w:p>
    <w:p w:rsidR="003D0800" w:rsidRPr="006B25C4" w:rsidRDefault="003D0800" w:rsidP="003D0800">
      <w:pPr>
        <w:pStyle w:val="ListParagraph"/>
        <w:tabs>
          <w:tab w:val="left" w:pos="1076"/>
        </w:tabs>
        <w:spacing w:line="235" w:lineRule="auto"/>
        <w:rPr>
          <w:rFonts w:asciiTheme="majorHAnsi" w:hAnsiTheme="majorHAnsi"/>
          <w:color w:val="FF0000"/>
          <w:sz w:val="24"/>
          <w:szCs w:val="24"/>
        </w:rPr>
      </w:pPr>
    </w:p>
    <w:tbl>
      <w:tblPr>
        <w:tblStyle w:val="TableGrid"/>
        <w:tblW w:w="0" w:type="auto"/>
        <w:tblLook w:val="04A0" w:firstRow="1" w:lastRow="0" w:firstColumn="1" w:lastColumn="0" w:noHBand="0" w:noVBand="1"/>
      </w:tblPr>
      <w:tblGrid>
        <w:gridCol w:w="532"/>
        <w:gridCol w:w="7932"/>
        <w:gridCol w:w="546"/>
      </w:tblGrid>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Priorities</w:t>
            </w:r>
          </w:p>
        </w:tc>
        <w:tc>
          <w:tcPr>
            <w:tcW w:w="551" w:type="dxa"/>
          </w:tcPr>
          <w:p w:rsidR="00BC5B86" w:rsidRPr="00C2263F" w:rsidRDefault="00BC5B86" w:rsidP="00A82E38">
            <w:pPr>
              <w:tabs>
                <w:tab w:val="left" w:pos="1076"/>
              </w:tabs>
              <w:spacing w:line="235" w:lineRule="auto"/>
              <w:jc w:val="both"/>
              <w:rPr>
                <w:rFonts w:asciiTheme="majorHAnsi" w:hAnsiTheme="majorHAnsi"/>
              </w:rPr>
            </w:pP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1</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Enhance activities to develop impact-based forecast and risk-based warning.</w:t>
            </w:r>
          </w:p>
        </w:tc>
        <w:tc>
          <w:tcPr>
            <w:tcW w:w="551" w:type="dxa"/>
          </w:tcPr>
          <w:p w:rsidR="00BC5B86" w:rsidRPr="00C2263F" w:rsidRDefault="00EE18C1" w:rsidP="00A82E38">
            <w:pPr>
              <w:tabs>
                <w:tab w:val="left" w:pos="1076"/>
              </w:tabs>
              <w:spacing w:line="235" w:lineRule="auto"/>
              <w:jc w:val="both"/>
              <w:rPr>
                <w:rFonts w:asciiTheme="majorHAnsi" w:hAnsiTheme="majorHAnsi"/>
              </w:rPr>
            </w:pPr>
            <w:r w:rsidRPr="00C2263F">
              <w:rPr>
                <w:rFonts w:asciiTheme="majorHAnsi" w:hAnsiTheme="majorHAnsi"/>
              </w:rPr>
              <w:t>28</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2</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Strengthen cross-cutting activities among working groups in the Committee.</w:t>
            </w:r>
          </w:p>
        </w:tc>
        <w:tc>
          <w:tcPr>
            <w:tcW w:w="551" w:type="dxa"/>
          </w:tcPr>
          <w:p w:rsidR="00BC5B86" w:rsidRPr="00C2263F" w:rsidRDefault="00EE18C1" w:rsidP="00A82E38">
            <w:pPr>
              <w:tabs>
                <w:tab w:val="left" w:pos="1076"/>
              </w:tabs>
              <w:spacing w:line="235" w:lineRule="auto"/>
              <w:jc w:val="both"/>
              <w:rPr>
                <w:rFonts w:asciiTheme="majorHAnsi" w:hAnsiTheme="majorHAnsi"/>
              </w:rPr>
            </w:pPr>
            <w:r w:rsidRPr="00C2263F">
              <w:rPr>
                <w:rFonts w:asciiTheme="majorHAnsi" w:hAnsiTheme="majorHAnsi"/>
              </w:rPr>
              <w:t>6</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3</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Enhance collaborative activities with other regional/international frameworks/organizations, including TC and PTC cooperation mechanism.</w:t>
            </w:r>
          </w:p>
        </w:tc>
        <w:tc>
          <w:tcPr>
            <w:tcW w:w="551" w:type="dxa"/>
          </w:tcPr>
          <w:p w:rsidR="00BC5B86" w:rsidRPr="00C2263F" w:rsidRDefault="0077749E" w:rsidP="00C2263F">
            <w:pPr>
              <w:tabs>
                <w:tab w:val="left" w:pos="1076"/>
              </w:tabs>
              <w:spacing w:line="235" w:lineRule="auto"/>
              <w:jc w:val="both"/>
              <w:rPr>
                <w:rFonts w:asciiTheme="majorHAnsi" w:hAnsiTheme="majorHAnsi"/>
              </w:rPr>
            </w:pPr>
            <w:r w:rsidRPr="00C2263F">
              <w:rPr>
                <w:rFonts w:asciiTheme="majorHAnsi" w:hAnsiTheme="majorHAnsi"/>
              </w:rPr>
              <w:t>2</w:t>
            </w:r>
            <w:r w:rsidR="00C2263F">
              <w:rPr>
                <w:rFonts w:asciiTheme="majorHAnsi" w:hAnsiTheme="majorHAnsi"/>
              </w:rPr>
              <w:t>6</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4</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Enhance the capacity to monitor and forecast typhoon activities particularly in genesis, intensity and structure change.</w:t>
            </w:r>
          </w:p>
        </w:tc>
        <w:tc>
          <w:tcPr>
            <w:tcW w:w="551" w:type="dxa"/>
          </w:tcPr>
          <w:p w:rsidR="00BC5B86" w:rsidRPr="00C2263F" w:rsidRDefault="00EE18C1" w:rsidP="00A82E38">
            <w:pPr>
              <w:tabs>
                <w:tab w:val="left" w:pos="1076"/>
              </w:tabs>
              <w:spacing w:line="235" w:lineRule="auto"/>
              <w:jc w:val="both"/>
              <w:rPr>
                <w:rFonts w:asciiTheme="majorHAnsi" w:hAnsiTheme="majorHAnsi"/>
              </w:rPr>
            </w:pPr>
            <w:r w:rsidRPr="00C2263F">
              <w:rPr>
                <w:rFonts w:asciiTheme="majorHAnsi" w:hAnsiTheme="majorHAnsi"/>
              </w:rPr>
              <w:t>26</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5</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Develop and enhance typhoon analysis and forecast technique from short- to long-term.</w:t>
            </w:r>
          </w:p>
        </w:tc>
        <w:tc>
          <w:tcPr>
            <w:tcW w:w="551" w:type="dxa"/>
          </w:tcPr>
          <w:p w:rsidR="00BC5B86" w:rsidRPr="00C2263F" w:rsidRDefault="00EE18C1" w:rsidP="00A82E38">
            <w:pPr>
              <w:tabs>
                <w:tab w:val="left" w:pos="1076"/>
              </w:tabs>
              <w:spacing w:line="235" w:lineRule="auto"/>
              <w:jc w:val="both"/>
              <w:rPr>
                <w:rFonts w:asciiTheme="majorHAnsi" w:hAnsiTheme="majorHAnsi"/>
              </w:rPr>
            </w:pPr>
            <w:r w:rsidRPr="00C2263F">
              <w:rPr>
                <w:rFonts w:asciiTheme="majorHAnsi" w:hAnsiTheme="majorHAnsi"/>
              </w:rPr>
              <w:t>16</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6</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Enhance and provide typhoon forecast guidance based on NWP including ensembles and weather radar related products, such as QPE/QPF.</w:t>
            </w:r>
          </w:p>
        </w:tc>
        <w:tc>
          <w:tcPr>
            <w:tcW w:w="551" w:type="dxa"/>
          </w:tcPr>
          <w:p w:rsidR="00BC5B86" w:rsidRPr="00C2263F" w:rsidRDefault="00EE18C1" w:rsidP="00A82E38">
            <w:pPr>
              <w:tabs>
                <w:tab w:val="left" w:pos="1076"/>
              </w:tabs>
              <w:spacing w:line="235" w:lineRule="auto"/>
              <w:jc w:val="both"/>
              <w:rPr>
                <w:rFonts w:asciiTheme="majorHAnsi" w:hAnsiTheme="majorHAnsi"/>
              </w:rPr>
            </w:pPr>
            <w:r w:rsidRPr="00C2263F">
              <w:rPr>
                <w:rFonts w:asciiTheme="majorHAnsi" w:hAnsiTheme="majorHAnsi"/>
              </w:rPr>
              <w:t>22</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7</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Promote communication among typhoon operational forecast and research communities in Typhoon Committee region.</w:t>
            </w:r>
          </w:p>
        </w:tc>
        <w:tc>
          <w:tcPr>
            <w:tcW w:w="551" w:type="dxa"/>
          </w:tcPr>
          <w:p w:rsidR="00BC5B86" w:rsidRPr="00C2263F" w:rsidRDefault="00EE18C1" w:rsidP="00A82E38">
            <w:pPr>
              <w:tabs>
                <w:tab w:val="left" w:pos="1076"/>
              </w:tabs>
              <w:spacing w:line="235" w:lineRule="auto"/>
              <w:jc w:val="both"/>
              <w:rPr>
                <w:rFonts w:asciiTheme="majorHAnsi" w:hAnsiTheme="majorHAnsi"/>
              </w:rPr>
            </w:pPr>
            <w:r w:rsidRPr="00C2263F">
              <w:rPr>
                <w:rFonts w:asciiTheme="majorHAnsi" w:hAnsiTheme="majorHAnsi"/>
              </w:rPr>
              <w:t>28</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8</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Strengthen the cooperation with WGH and WGDRR to develop impact-based forecast and risk-based warning.</w:t>
            </w:r>
          </w:p>
        </w:tc>
        <w:tc>
          <w:tcPr>
            <w:tcW w:w="551" w:type="dxa"/>
          </w:tcPr>
          <w:p w:rsidR="00BC5B86" w:rsidRPr="00C2263F" w:rsidRDefault="00EE18C1" w:rsidP="00A82E38">
            <w:pPr>
              <w:tabs>
                <w:tab w:val="left" w:pos="1076"/>
              </w:tabs>
              <w:spacing w:line="235" w:lineRule="auto"/>
              <w:jc w:val="both"/>
              <w:rPr>
                <w:rFonts w:asciiTheme="majorHAnsi" w:hAnsiTheme="majorHAnsi"/>
              </w:rPr>
            </w:pPr>
            <w:r w:rsidRPr="00C2263F">
              <w:rPr>
                <w:rFonts w:asciiTheme="majorHAnsi" w:hAnsiTheme="majorHAnsi"/>
              </w:rPr>
              <w:t>4</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9</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Enhance, in cooperation with TRCG, training activities in accordance with Typhoon Committee forecast competency, knowledge sharing, and exchange of latest development and new techniques.</w:t>
            </w:r>
          </w:p>
        </w:tc>
        <w:tc>
          <w:tcPr>
            <w:tcW w:w="551" w:type="dxa"/>
          </w:tcPr>
          <w:p w:rsidR="00BC5B86" w:rsidRPr="00C2263F" w:rsidRDefault="00EE18C1" w:rsidP="00A82E38">
            <w:pPr>
              <w:tabs>
                <w:tab w:val="left" w:pos="1076"/>
              </w:tabs>
              <w:spacing w:line="235" w:lineRule="auto"/>
              <w:jc w:val="both"/>
              <w:rPr>
                <w:rFonts w:asciiTheme="majorHAnsi" w:hAnsiTheme="majorHAnsi"/>
              </w:rPr>
            </w:pPr>
            <w:r w:rsidRPr="00C2263F">
              <w:rPr>
                <w:rFonts w:asciiTheme="majorHAnsi" w:hAnsiTheme="majorHAnsi"/>
              </w:rPr>
              <w:t>8</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10</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Enhance RSMC capacity to provide regional guidance including storm surge, responding to Member’s needs.</w:t>
            </w:r>
          </w:p>
        </w:tc>
        <w:tc>
          <w:tcPr>
            <w:tcW w:w="551" w:type="dxa"/>
          </w:tcPr>
          <w:p w:rsidR="00BC5B86" w:rsidRPr="00C2263F" w:rsidRDefault="00EE18C1" w:rsidP="00A82E38">
            <w:pPr>
              <w:tabs>
                <w:tab w:val="left" w:pos="1076"/>
              </w:tabs>
              <w:spacing w:line="235" w:lineRule="auto"/>
              <w:jc w:val="both"/>
              <w:rPr>
                <w:rFonts w:asciiTheme="majorHAnsi" w:hAnsiTheme="majorHAnsi"/>
              </w:rPr>
            </w:pPr>
            <w:r w:rsidRPr="00C2263F">
              <w:rPr>
                <w:rFonts w:asciiTheme="majorHAnsi" w:hAnsiTheme="majorHAnsi"/>
              </w:rPr>
              <w:t>5</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11</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 xml:space="preserve">Improve typhoon-related flood (including river flood, urban flood, mountainous flood, flash flood and storm surge, </w:t>
            </w:r>
            <w:proofErr w:type="spellStart"/>
            <w:r w:rsidRPr="006B25C4">
              <w:rPr>
                <w:rFonts w:asciiTheme="majorHAnsi" w:hAnsiTheme="majorHAnsi"/>
              </w:rPr>
              <w:t>etc</w:t>
            </w:r>
            <w:proofErr w:type="spellEnd"/>
            <w:r w:rsidRPr="006B25C4">
              <w:rPr>
                <w:rFonts w:asciiTheme="majorHAnsi" w:hAnsiTheme="majorHAnsi"/>
              </w:rPr>
              <w:t xml:space="preserve"> the same below) monitoring data collection, quality control, transmission, and processing.</w:t>
            </w:r>
          </w:p>
        </w:tc>
        <w:tc>
          <w:tcPr>
            <w:tcW w:w="551" w:type="dxa"/>
          </w:tcPr>
          <w:p w:rsidR="00BC5B86" w:rsidRPr="00C2263F" w:rsidRDefault="00EE18C1" w:rsidP="00A82E38">
            <w:pPr>
              <w:tabs>
                <w:tab w:val="left" w:pos="1076"/>
              </w:tabs>
              <w:spacing w:line="235" w:lineRule="auto"/>
              <w:jc w:val="both"/>
              <w:rPr>
                <w:rFonts w:asciiTheme="majorHAnsi" w:hAnsiTheme="majorHAnsi"/>
              </w:rPr>
            </w:pPr>
            <w:r w:rsidRPr="00C2263F">
              <w:rPr>
                <w:rFonts w:asciiTheme="majorHAnsi" w:hAnsiTheme="majorHAnsi"/>
              </w:rPr>
              <w:t>15</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12</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Enhance capacity in typhoon-related flood risk management (including dam operation), integrated water resources management and flood-water utilization.</w:t>
            </w:r>
          </w:p>
        </w:tc>
        <w:tc>
          <w:tcPr>
            <w:tcW w:w="551" w:type="dxa"/>
          </w:tcPr>
          <w:p w:rsidR="00BC5B86" w:rsidRPr="00C2263F" w:rsidRDefault="00EE18C1" w:rsidP="00A82E38">
            <w:pPr>
              <w:tabs>
                <w:tab w:val="left" w:pos="1076"/>
              </w:tabs>
              <w:spacing w:line="235" w:lineRule="auto"/>
              <w:jc w:val="both"/>
              <w:rPr>
                <w:rFonts w:asciiTheme="majorHAnsi" w:hAnsiTheme="majorHAnsi"/>
              </w:rPr>
            </w:pPr>
            <w:r w:rsidRPr="00C2263F">
              <w:rPr>
                <w:rFonts w:asciiTheme="majorHAnsi" w:hAnsiTheme="majorHAnsi"/>
              </w:rPr>
              <w:t>17</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13</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Enhance capacity in impact-based and community-based operational flood forecasting and early warning, including methodology research, hydrological modeling, and operation system development.</w:t>
            </w:r>
          </w:p>
        </w:tc>
        <w:tc>
          <w:tcPr>
            <w:tcW w:w="551" w:type="dxa"/>
          </w:tcPr>
          <w:p w:rsidR="00BC5B86" w:rsidRPr="00C2263F" w:rsidRDefault="0077749E" w:rsidP="00A82E38">
            <w:pPr>
              <w:tabs>
                <w:tab w:val="left" w:pos="1076"/>
              </w:tabs>
              <w:spacing w:line="235" w:lineRule="auto"/>
              <w:jc w:val="both"/>
              <w:rPr>
                <w:rFonts w:asciiTheme="majorHAnsi" w:hAnsiTheme="majorHAnsi"/>
              </w:rPr>
            </w:pPr>
            <w:r w:rsidRPr="00C2263F">
              <w:rPr>
                <w:rFonts w:asciiTheme="majorHAnsi" w:hAnsiTheme="majorHAnsi"/>
              </w:rPr>
              <w:t>19</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14</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Enhance capacity in flood risk (hazard, inundation) information, mapping, and its application.</w:t>
            </w:r>
          </w:p>
        </w:tc>
        <w:tc>
          <w:tcPr>
            <w:tcW w:w="551" w:type="dxa"/>
          </w:tcPr>
          <w:p w:rsidR="00BC5B86" w:rsidRPr="00C2263F" w:rsidRDefault="0077749E" w:rsidP="00EE18C1">
            <w:pPr>
              <w:tabs>
                <w:tab w:val="left" w:pos="1076"/>
              </w:tabs>
              <w:spacing w:line="235" w:lineRule="auto"/>
              <w:jc w:val="both"/>
              <w:rPr>
                <w:rFonts w:asciiTheme="majorHAnsi" w:hAnsiTheme="majorHAnsi"/>
              </w:rPr>
            </w:pPr>
            <w:r w:rsidRPr="00C2263F">
              <w:rPr>
                <w:rFonts w:asciiTheme="majorHAnsi" w:hAnsiTheme="majorHAnsi"/>
              </w:rPr>
              <w:t>2</w:t>
            </w:r>
            <w:r w:rsidR="00EE18C1" w:rsidRPr="00C2263F">
              <w:rPr>
                <w:rFonts w:asciiTheme="majorHAnsi" w:hAnsiTheme="majorHAnsi"/>
              </w:rPr>
              <w:t>0</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15</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Enhance capacity in assessment and dealing with the impacts of climate change, urbanization, and other human activities on typhoon-related flood disaster</w:t>
            </w:r>
            <w:r w:rsidR="00436208">
              <w:rPr>
                <w:rFonts w:asciiTheme="majorHAnsi" w:hAnsiTheme="majorHAnsi"/>
              </w:rPr>
              <w:t xml:space="preserve"> </w:t>
            </w:r>
            <w:r w:rsidRPr="006B25C4">
              <w:rPr>
                <w:rFonts w:asciiTheme="majorHAnsi" w:hAnsiTheme="majorHAnsi"/>
              </w:rPr>
              <w:t>vulnerability and water resources availability.</w:t>
            </w:r>
          </w:p>
        </w:tc>
        <w:tc>
          <w:tcPr>
            <w:tcW w:w="551" w:type="dxa"/>
          </w:tcPr>
          <w:p w:rsidR="00BC5B86" w:rsidRPr="00C2263F" w:rsidRDefault="00EE18C1" w:rsidP="00EE18C1">
            <w:pPr>
              <w:tabs>
                <w:tab w:val="left" w:pos="1076"/>
              </w:tabs>
              <w:spacing w:line="235" w:lineRule="auto"/>
              <w:jc w:val="both"/>
              <w:rPr>
                <w:rFonts w:asciiTheme="majorHAnsi" w:hAnsiTheme="majorHAnsi"/>
              </w:rPr>
            </w:pPr>
            <w:r w:rsidRPr="00C2263F">
              <w:rPr>
                <w:rFonts w:asciiTheme="majorHAnsi" w:hAnsiTheme="majorHAnsi"/>
              </w:rPr>
              <w:t>9</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16</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Enhance capacity in advanced technology (including satellite data, GIS, RS, QPE/QPF, ensemble, parallel computing) utilization in typhoon-related flood forecasting and early warning, and hydrological modeling.</w:t>
            </w:r>
          </w:p>
        </w:tc>
        <w:tc>
          <w:tcPr>
            <w:tcW w:w="551" w:type="dxa"/>
          </w:tcPr>
          <w:p w:rsidR="00BC5B86" w:rsidRPr="00C2263F" w:rsidRDefault="0077749E" w:rsidP="00EE18C1">
            <w:pPr>
              <w:tabs>
                <w:tab w:val="left" w:pos="1076"/>
              </w:tabs>
              <w:spacing w:line="235" w:lineRule="auto"/>
              <w:jc w:val="both"/>
              <w:rPr>
                <w:rFonts w:asciiTheme="majorHAnsi" w:hAnsiTheme="majorHAnsi"/>
              </w:rPr>
            </w:pPr>
            <w:r w:rsidRPr="00C2263F">
              <w:rPr>
                <w:rFonts w:asciiTheme="majorHAnsi" w:hAnsiTheme="majorHAnsi"/>
              </w:rPr>
              <w:t>1</w:t>
            </w:r>
            <w:r w:rsidR="00EE18C1" w:rsidRPr="00C2263F">
              <w:rPr>
                <w:rFonts w:asciiTheme="majorHAnsi" w:hAnsiTheme="majorHAnsi"/>
              </w:rPr>
              <w:t>6</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17</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Provide reliable statistics of mortality and direct disaster economic loss caused by typhoon-related disasters for monitoring the targets of the Typhoon Committee.</w:t>
            </w:r>
          </w:p>
        </w:tc>
        <w:tc>
          <w:tcPr>
            <w:tcW w:w="551" w:type="dxa"/>
          </w:tcPr>
          <w:p w:rsidR="00BC5B86" w:rsidRPr="00C2263F" w:rsidRDefault="00EE18C1" w:rsidP="00A82E38">
            <w:pPr>
              <w:tabs>
                <w:tab w:val="left" w:pos="1076"/>
              </w:tabs>
              <w:spacing w:line="235" w:lineRule="auto"/>
              <w:jc w:val="both"/>
              <w:rPr>
                <w:rFonts w:asciiTheme="majorHAnsi" w:hAnsiTheme="majorHAnsi"/>
              </w:rPr>
            </w:pPr>
            <w:r w:rsidRPr="00C2263F">
              <w:rPr>
                <w:rFonts w:asciiTheme="majorHAnsi" w:hAnsiTheme="majorHAnsi"/>
              </w:rPr>
              <w:t>4</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18</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Enhance Members’ disaster reduction techniques and management strategies.</w:t>
            </w:r>
          </w:p>
        </w:tc>
        <w:tc>
          <w:tcPr>
            <w:tcW w:w="551" w:type="dxa"/>
          </w:tcPr>
          <w:p w:rsidR="00BC5B86" w:rsidRPr="00C2263F" w:rsidRDefault="00EE18C1" w:rsidP="00A82E38">
            <w:pPr>
              <w:tabs>
                <w:tab w:val="left" w:pos="1076"/>
              </w:tabs>
              <w:spacing w:line="235" w:lineRule="auto"/>
              <w:jc w:val="both"/>
              <w:rPr>
                <w:rFonts w:asciiTheme="majorHAnsi" w:hAnsiTheme="majorHAnsi"/>
              </w:rPr>
            </w:pPr>
            <w:r w:rsidRPr="00C2263F">
              <w:rPr>
                <w:rFonts w:asciiTheme="majorHAnsi" w:hAnsiTheme="majorHAnsi"/>
              </w:rPr>
              <w:t>27</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19</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Evaluate socio-economic benefits of disaster risk reduction for typhoon-related disasters.</w:t>
            </w:r>
          </w:p>
        </w:tc>
        <w:tc>
          <w:tcPr>
            <w:tcW w:w="551" w:type="dxa"/>
          </w:tcPr>
          <w:p w:rsidR="00BC5B86" w:rsidRPr="00C2263F" w:rsidRDefault="00EE18C1" w:rsidP="00A82E38">
            <w:pPr>
              <w:tabs>
                <w:tab w:val="left" w:pos="1076"/>
              </w:tabs>
              <w:spacing w:line="235" w:lineRule="auto"/>
              <w:jc w:val="both"/>
              <w:rPr>
                <w:rFonts w:asciiTheme="majorHAnsi" w:hAnsiTheme="majorHAnsi"/>
              </w:rPr>
            </w:pPr>
            <w:r w:rsidRPr="00C2263F">
              <w:rPr>
                <w:rFonts w:asciiTheme="majorHAnsi" w:hAnsiTheme="majorHAnsi"/>
              </w:rPr>
              <w:t>16</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20</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Promote international cooperation of DRR implementation project.</w:t>
            </w:r>
          </w:p>
        </w:tc>
        <w:tc>
          <w:tcPr>
            <w:tcW w:w="551" w:type="dxa"/>
          </w:tcPr>
          <w:p w:rsidR="00BC5B86" w:rsidRPr="00C2263F" w:rsidRDefault="00EE18C1" w:rsidP="00EE18C1">
            <w:pPr>
              <w:tabs>
                <w:tab w:val="left" w:pos="1076"/>
              </w:tabs>
              <w:spacing w:line="235" w:lineRule="auto"/>
              <w:jc w:val="both"/>
              <w:rPr>
                <w:rFonts w:asciiTheme="majorHAnsi" w:hAnsiTheme="majorHAnsi"/>
              </w:rPr>
            </w:pPr>
            <w:r w:rsidRPr="00C2263F">
              <w:rPr>
                <w:rFonts w:asciiTheme="majorHAnsi" w:hAnsiTheme="majorHAnsi"/>
              </w:rPr>
              <w:t>22</w:t>
            </w:r>
          </w:p>
        </w:tc>
      </w:tr>
      <w:tr w:rsidR="006B25C4" w:rsidRPr="006B25C4" w:rsidTr="00BC5B86">
        <w:tc>
          <w:tcPr>
            <w:tcW w:w="535"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lastRenderedPageBreak/>
              <w:t>21</w:t>
            </w:r>
          </w:p>
        </w:tc>
        <w:tc>
          <w:tcPr>
            <w:tcW w:w="8204" w:type="dxa"/>
          </w:tcPr>
          <w:p w:rsidR="00BC5B86" w:rsidRPr="006B25C4" w:rsidRDefault="00BC5B86" w:rsidP="00A82E38">
            <w:pPr>
              <w:tabs>
                <w:tab w:val="left" w:pos="1076"/>
              </w:tabs>
              <w:spacing w:line="235" w:lineRule="auto"/>
              <w:jc w:val="both"/>
              <w:rPr>
                <w:rFonts w:asciiTheme="majorHAnsi" w:hAnsiTheme="majorHAnsi"/>
              </w:rPr>
            </w:pPr>
            <w:r w:rsidRPr="006B25C4">
              <w:rPr>
                <w:rFonts w:asciiTheme="majorHAnsi" w:hAnsiTheme="majorHAnsi"/>
              </w:rPr>
              <w:t>Share experience/know-how of DRR activities including legal and policy framework, community-based DRR activities, methodology to collect disaster-related information.</w:t>
            </w:r>
          </w:p>
        </w:tc>
        <w:tc>
          <w:tcPr>
            <w:tcW w:w="551" w:type="dxa"/>
          </w:tcPr>
          <w:p w:rsidR="00BC5B86" w:rsidRPr="00C2263F" w:rsidRDefault="00EE18C1" w:rsidP="00A82E38">
            <w:pPr>
              <w:tabs>
                <w:tab w:val="left" w:pos="1076"/>
              </w:tabs>
              <w:spacing w:line="235" w:lineRule="auto"/>
              <w:jc w:val="both"/>
              <w:rPr>
                <w:rFonts w:asciiTheme="majorHAnsi" w:hAnsiTheme="majorHAnsi"/>
              </w:rPr>
            </w:pPr>
            <w:r w:rsidRPr="00C2263F">
              <w:rPr>
                <w:rFonts w:asciiTheme="majorHAnsi" w:hAnsiTheme="majorHAnsi"/>
              </w:rPr>
              <w:t>23</w:t>
            </w:r>
          </w:p>
        </w:tc>
      </w:tr>
    </w:tbl>
    <w:p w:rsidR="00A82E38" w:rsidRPr="006B25C4" w:rsidRDefault="00A82E38" w:rsidP="00A82E38">
      <w:pPr>
        <w:tabs>
          <w:tab w:val="left" w:pos="1076"/>
        </w:tabs>
        <w:spacing w:line="235" w:lineRule="auto"/>
        <w:jc w:val="both"/>
        <w:rPr>
          <w:rFonts w:asciiTheme="majorHAnsi" w:hAnsiTheme="majorHAnsi"/>
          <w:color w:val="FF0000"/>
          <w:sz w:val="24"/>
          <w:szCs w:val="24"/>
        </w:rPr>
        <w:sectPr w:rsidR="00A82E38" w:rsidRPr="006B25C4" w:rsidSect="00B31792">
          <w:footerReference w:type="default" r:id="rId8"/>
          <w:pgSz w:w="11900" w:h="16840"/>
          <w:pgMar w:top="1440" w:right="1440" w:bottom="1440" w:left="1440" w:header="0" w:footer="1014" w:gutter="0"/>
          <w:cols w:space="720"/>
          <w:docGrid w:linePitch="299"/>
        </w:sectPr>
      </w:pPr>
    </w:p>
    <w:p w:rsidR="006F3DD1" w:rsidRPr="00C2263F" w:rsidRDefault="00EE18C1">
      <w:pPr>
        <w:pStyle w:val="BodyText"/>
        <w:rPr>
          <w:rFonts w:asciiTheme="majorHAnsi" w:hAnsiTheme="majorHAnsi"/>
        </w:rPr>
      </w:pPr>
      <w:r w:rsidRPr="00C2263F">
        <w:rPr>
          <w:rFonts w:asciiTheme="majorHAnsi" w:hAnsiTheme="majorHAnsi"/>
        </w:rPr>
        <w:lastRenderedPageBreak/>
        <w:t>O</w:t>
      </w:r>
      <w:r w:rsidR="00C2263F" w:rsidRPr="00C2263F">
        <w:rPr>
          <w:rFonts w:asciiTheme="majorHAnsi" w:hAnsiTheme="majorHAnsi"/>
        </w:rPr>
        <w:t xml:space="preserve">verall, Typhoon Committee Members reported on over 90 initiatives supporting the 21 Priorities defined in the Strategic Plan, a remarkable number. </w:t>
      </w:r>
    </w:p>
    <w:p w:rsidR="00C2263F" w:rsidRPr="006B25C4" w:rsidRDefault="00C2263F">
      <w:pPr>
        <w:pStyle w:val="BodyText"/>
        <w:rPr>
          <w:rFonts w:asciiTheme="majorHAnsi" w:hAnsiTheme="majorHAnsi"/>
          <w:color w:val="FF0000"/>
        </w:rPr>
      </w:pPr>
    </w:p>
    <w:p w:rsidR="006F3DD1" w:rsidRPr="006B25C4" w:rsidRDefault="002D518E" w:rsidP="003D0800">
      <w:pPr>
        <w:pStyle w:val="Heading3"/>
        <w:numPr>
          <w:ilvl w:val="1"/>
          <w:numId w:val="2"/>
        </w:numPr>
        <w:spacing w:before="0"/>
        <w:ind w:left="720" w:hanging="720"/>
        <w:rPr>
          <w:rFonts w:asciiTheme="majorHAnsi" w:hAnsiTheme="majorHAnsi"/>
          <w:i w:val="0"/>
        </w:rPr>
      </w:pPr>
      <w:r w:rsidRPr="006B25C4">
        <w:rPr>
          <w:rFonts w:asciiTheme="majorHAnsi" w:hAnsiTheme="majorHAnsi"/>
          <w:i w:val="0"/>
        </w:rPr>
        <w:t>Summary of Members’</w:t>
      </w:r>
      <w:r w:rsidRPr="006B25C4">
        <w:rPr>
          <w:rFonts w:asciiTheme="majorHAnsi" w:hAnsiTheme="majorHAnsi"/>
          <w:i w:val="0"/>
          <w:spacing w:val="-30"/>
        </w:rPr>
        <w:t xml:space="preserve"> </w:t>
      </w:r>
      <w:r w:rsidRPr="006B25C4">
        <w:rPr>
          <w:rFonts w:asciiTheme="majorHAnsi" w:hAnsiTheme="majorHAnsi"/>
          <w:i w:val="0"/>
        </w:rPr>
        <w:t>Reports</w:t>
      </w:r>
    </w:p>
    <w:p w:rsidR="006F3DD1" w:rsidRPr="006B25C4" w:rsidRDefault="006F3DD1">
      <w:pPr>
        <w:pStyle w:val="BodyText"/>
        <w:spacing w:before="10"/>
        <w:rPr>
          <w:rFonts w:asciiTheme="majorHAnsi" w:hAnsiTheme="majorHAnsi"/>
          <w:b/>
          <w:i/>
        </w:rPr>
      </w:pPr>
    </w:p>
    <w:p w:rsidR="003D0800" w:rsidRPr="006B25C4" w:rsidRDefault="00725232" w:rsidP="003D0800">
      <w:pPr>
        <w:pStyle w:val="ListParagraph"/>
        <w:numPr>
          <w:ilvl w:val="2"/>
          <w:numId w:val="9"/>
        </w:numPr>
        <w:adjustRightInd w:val="0"/>
        <w:rPr>
          <w:rFonts w:asciiTheme="majorHAnsi" w:hAnsiTheme="majorHAnsi"/>
          <w:b/>
          <w:sz w:val="24"/>
          <w:szCs w:val="24"/>
        </w:rPr>
      </w:pPr>
      <w:r w:rsidRPr="006B25C4">
        <w:rPr>
          <w:rFonts w:asciiTheme="majorHAnsi" w:hAnsiTheme="majorHAnsi"/>
          <w:b/>
          <w:sz w:val="24"/>
          <w:szCs w:val="24"/>
        </w:rPr>
        <w:t xml:space="preserve">Cambodia.  </w:t>
      </w:r>
    </w:p>
    <w:p w:rsidR="003D0800" w:rsidRPr="006B25C4" w:rsidRDefault="003D0800" w:rsidP="003D0800">
      <w:pPr>
        <w:adjustRightInd w:val="0"/>
        <w:jc w:val="both"/>
        <w:rPr>
          <w:rFonts w:asciiTheme="majorHAnsi" w:hAnsiTheme="majorHAnsi"/>
          <w:sz w:val="24"/>
          <w:szCs w:val="24"/>
        </w:rPr>
      </w:pPr>
    </w:p>
    <w:p w:rsidR="00E27EB7" w:rsidRPr="006B25C4" w:rsidRDefault="001B437A" w:rsidP="00771875">
      <w:pPr>
        <w:adjustRightInd w:val="0"/>
        <w:jc w:val="both"/>
        <w:rPr>
          <w:rFonts w:asciiTheme="majorHAnsi" w:hAnsiTheme="majorHAnsi"/>
          <w:sz w:val="24"/>
          <w:szCs w:val="24"/>
        </w:rPr>
      </w:pPr>
      <w:r w:rsidRPr="006B25C4">
        <w:rPr>
          <w:rFonts w:asciiTheme="majorHAnsi" w:hAnsiTheme="majorHAnsi"/>
          <w:sz w:val="24"/>
          <w:szCs w:val="24"/>
        </w:rPr>
        <w:t>In 2019 there was only one tropical cyclone to affect Cambodia.  Severe Tropical Storm M</w:t>
      </w:r>
      <w:r w:rsidR="0033609A">
        <w:rPr>
          <w:rFonts w:asciiTheme="majorHAnsi" w:hAnsiTheme="majorHAnsi"/>
          <w:sz w:val="24"/>
          <w:szCs w:val="24"/>
        </w:rPr>
        <w:t>ATMO</w:t>
      </w:r>
      <w:r w:rsidRPr="006B25C4">
        <w:rPr>
          <w:rFonts w:asciiTheme="majorHAnsi" w:hAnsiTheme="majorHAnsi"/>
          <w:sz w:val="24"/>
          <w:szCs w:val="24"/>
        </w:rPr>
        <w:t xml:space="preserve"> made landfall in Vietnam with maximum sustained winds of 50 </w:t>
      </w:r>
      <w:proofErr w:type="spellStart"/>
      <w:r w:rsidRPr="006B25C4">
        <w:rPr>
          <w:rFonts w:asciiTheme="majorHAnsi" w:hAnsiTheme="majorHAnsi"/>
          <w:sz w:val="24"/>
          <w:szCs w:val="24"/>
        </w:rPr>
        <w:t>kt</w:t>
      </w:r>
      <w:proofErr w:type="spellEnd"/>
      <w:r w:rsidRPr="006B25C4">
        <w:rPr>
          <w:rFonts w:asciiTheme="majorHAnsi" w:hAnsiTheme="majorHAnsi"/>
          <w:sz w:val="24"/>
          <w:szCs w:val="24"/>
        </w:rPr>
        <w:t xml:space="preserve"> on 30 October 2019.  M</w:t>
      </w:r>
      <w:r w:rsidR="0033609A">
        <w:rPr>
          <w:rFonts w:asciiTheme="majorHAnsi" w:hAnsiTheme="majorHAnsi"/>
          <w:sz w:val="24"/>
          <w:szCs w:val="24"/>
        </w:rPr>
        <w:t>ATMO</w:t>
      </w:r>
      <w:r w:rsidRPr="006B25C4">
        <w:rPr>
          <w:rFonts w:asciiTheme="majorHAnsi" w:hAnsiTheme="majorHAnsi"/>
          <w:sz w:val="24"/>
          <w:szCs w:val="24"/>
        </w:rPr>
        <w:t xml:space="preserve"> weakened slightly before crossing into northern Cambodia on 31 October and was downgraded to a tropical depression.  Thankfully there was no significant</w:t>
      </w:r>
      <w:r w:rsidR="00771875" w:rsidRPr="006B25C4">
        <w:rPr>
          <w:rFonts w:asciiTheme="majorHAnsi" w:hAnsiTheme="majorHAnsi"/>
          <w:sz w:val="24"/>
          <w:szCs w:val="24"/>
        </w:rPr>
        <w:t xml:space="preserve"> heavy rain or damages reported.  </w:t>
      </w:r>
    </w:p>
    <w:p w:rsidR="00771875" w:rsidRPr="006B25C4" w:rsidRDefault="00771875" w:rsidP="00771875">
      <w:pPr>
        <w:adjustRightInd w:val="0"/>
        <w:jc w:val="both"/>
        <w:rPr>
          <w:rFonts w:asciiTheme="majorHAnsi" w:hAnsiTheme="majorHAnsi"/>
          <w:sz w:val="24"/>
          <w:szCs w:val="24"/>
        </w:rPr>
      </w:pPr>
    </w:p>
    <w:p w:rsidR="00771875" w:rsidRPr="006B25C4" w:rsidRDefault="00771875" w:rsidP="00771875">
      <w:pPr>
        <w:adjustRightInd w:val="0"/>
        <w:jc w:val="both"/>
        <w:rPr>
          <w:rFonts w:asciiTheme="majorHAnsi" w:hAnsiTheme="majorHAnsi"/>
          <w:sz w:val="24"/>
          <w:szCs w:val="24"/>
        </w:rPr>
      </w:pPr>
      <w:r w:rsidRPr="006B25C4">
        <w:rPr>
          <w:rFonts w:asciiTheme="majorHAnsi" w:hAnsiTheme="majorHAnsi"/>
          <w:sz w:val="24"/>
          <w:szCs w:val="24"/>
        </w:rPr>
        <w:t>El Niño conditions delayed the arrival of the southwest monsoon.  Higher than normal temperatures were observed from January through September along with below normal rainfall from January through May.</w:t>
      </w:r>
    </w:p>
    <w:p w:rsidR="00571C68" w:rsidRPr="006B25C4" w:rsidRDefault="00571C68" w:rsidP="003D0800">
      <w:pPr>
        <w:pStyle w:val="ListParagraph"/>
        <w:adjustRightInd w:val="0"/>
        <w:ind w:left="0" w:right="20"/>
        <w:rPr>
          <w:rFonts w:asciiTheme="majorHAnsi" w:hAnsiTheme="majorHAnsi"/>
          <w:sz w:val="24"/>
          <w:szCs w:val="24"/>
        </w:rPr>
      </w:pPr>
    </w:p>
    <w:p w:rsidR="00771875" w:rsidRPr="006B25C4" w:rsidRDefault="00771875" w:rsidP="003D0800">
      <w:pPr>
        <w:pStyle w:val="ListParagraph"/>
        <w:adjustRightInd w:val="0"/>
        <w:ind w:left="0" w:right="20"/>
        <w:rPr>
          <w:rFonts w:asciiTheme="majorHAnsi" w:hAnsiTheme="majorHAnsi"/>
          <w:sz w:val="24"/>
          <w:szCs w:val="24"/>
        </w:rPr>
      </w:pPr>
      <w:r w:rsidRPr="006B25C4">
        <w:rPr>
          <w:rFonts w:asciiTheme="majorHAnsi" w:hAnsiTheme="majorHAnsi"/>
          <w:sz w:val="24"/>
          <w:szCs w:val="24"/>
        </w:rPr>
        <w:t>Once the southwest monsoon arrived in the 3</w:t>
      </w:r>
      <w:r w:rsidRPr="006B25C4">
        <w:rPr>
          <w:rFonts w:asciiTheme="majorHAnsi" w:hAnsiTheme="majorHAnsi"/>
          <w:sz w:val="24"/>
          <w:szCs w:val="24"/>
          <w:vertAlign w:val="superscript"/>
        </w:rPr>
        <w:t>rd</w:t>
      </w:r>
      <w:r w:rsidRPr="006B25C4">
        <w:rPr>
          <w:rFonts w:asciiTheme="majorHAnsi" w:hAnsiTheme="majorHAnsi"/>
          <w:sz w:val="24"/>
          <w:szCs w:val="24"/>
        </w:rPr>
        <w:t xml:space="preserve"> week of M</w:t>
      </w:r>
      <w:r w:rsidR="006B25C4" w:rsidRPr="006B25C4">
        <w:rPr>
          <w:rFonts w:asciiTheme="majorHAnsi" w:hAnsiTheme="majorHAnsi"/>
          <w:sz w:val="24"/>
          <w:szCs w:val="24"/>
        </w:rPr>
        <w:t xml:space="preserve">ay, </w:t>
      </w:r>
      <w:r w:rsidRPr="006B25C4">
        <w:rPr>
          <w:rFonts w:asciiTheme="majorHAnsi" w:hAnsiTheme="majorHAnsi"/>
          <w:sz w:val="24"/>
          <w:szCs w:val="24"/>
        </w:rPr>
        <w:t xml:space="preserve">rainfall returned to normal for most of the country.  Coastal and plateau areas saw extremely wet conditions in August and September.  A severe flash flood occurred in Sihanouk (Kampong </w:t>
      </w:r>
      <w:proofErr w:type="spellStart"/>
      <w:r w:rsidRPr="006B25C4">
        <w:rPr>
          <w:rFonts w:asciiTheme="majorHAnsi" w:hAnsiTheme="majorHAnsi"/>
          <w:sz w:val="24"/>
          <w:szCs w:val="24"/>
        </w:rPr>
        <w:t>Som</w:t>
      </w:r>
      <w:proofErr w:type="spellEnd"/>
      <w:r w:rsidRPr="006B25C4">
        <w:rPr>
          <w:rFonts w:asciiTheme="majorHAnsi" w:hAnsiTheme="majorHAnsi"/>
          <w:sz w:val="24"/>
          <w:szCs w:val="24"/>
        </w:rPr>
        <w:t xml:space="preserve"> Province)</w:t>
      </w:r>
      <w:r w:rsidR="006B25C4" w:rsidRPr="006B25C4">
        <w:rPr>
          <w:rFonts w:asciiTheme="majorHAnsi" w:hAnsiTheme="majorHAnsi"/>
          <w:sz w:val="24"/>
          <w:szCs w:val="24"/>
        </w:rPr>
        <w:t xml:space="preserve"> on 8 </w:t>
      </w:r>
      <w:r w:rsidRPr="006B25C4">
        <w:rPr>
          <w:rFonts w:asciiTheme="majorHAnsi" w:hAnsiTheme="majorHAnsi"/>
          <w:sz w:val="24"/>
          <w:szCs w:val="24"/>
        </w:rPr>
        <w:t>August 2020 where 272 mm of rain was observed in a 6 hour period.</w:t>
      </w:r>
    </w:p>
    <w:p w:rsidR="00E90B58" w:rsidRPr="006B25C4" w:rsidRDefault="00E90B58" w:rsidP="00E90B58">
      <w:pPr>
        <w:pStyle w:val="ListParagraph"/>
        <w:adjustRightInd w:val="0"/>
        <w:rPr>
          <w:rFonts w:asciiTheme="majorHAnsi" w:hAnsiTheme="majorHAnsi"/>
          <w:color w:val="FF0000"/>
          <w:sz w:val="24"/>
          <w:szCs w:val="24"/>
        </w:rPr>
      </w:pPr>
    </w:p>
    <w:p w:rsidR="009A0458" w:rsidRPr="00AA30BD" w:rsidRDefault="009A0458" w:rsidP="00DA6E13">
      <w:pPr>
        <w:pStyle w:val="ListParagraph"/>
        <w:numPr>
          <w:ilvl w:val="2"/>
          <w:numId w:val="9"/>
        </w:numPr>
        <w:tabs>
          <w:tab w:val="left" w:pos="0"/>
        </w:tabs>
        <w:ind w:left="0" w:right="0" w:firstLine="0"/>
        <w:rPr>
          <w:rFonts w:asciiTheme="majorHAnsi" w:hAnsiTheme="majorHAnsi"/>
          <w:b/>
          <w:sz w:val="24"/>
          <w:szCs w:val="24"/>
        </w:rPr>
      </w:pPr>
      <w:r w:rsidRPr="00AA30BD">
        <w:rPr>
          <w:rFonts w:asciiTheme="majorHAnsi" w:hAnsiTheme="majorHAnsi"/>
          <w:sz w:val="24"/>
          <w:szCs w:val="24"/>
        </w:rPr>
        <w:t xml:space="preserve"> </w:t>
      </w:r>
      <w:r w:rsidRPr="00AA30BD">
        <w:rPr>
          <w:rFonts w:asciiTheme="majorHAnsi" w:hAnsiTheme="majorHAnsi"/>
          <w:b/>
          <w:sz w:val="24"/>
          <w:szCs w:val="24"/>
        </w:rPr>
        <w:t>China</w:t>
      </w:r>
    </w:p>
    <w:p w:rsidR="009A0458" w:rsidRPr="00AA30BD" w:rsidRDefault="009A0458" w:rsidP="00DA6E13">
      <w:pPr>
        <w:tabs>
          <w:tab w:val="left" w:pos="1076"/>
        </w:tabs>
        <w:rPr>
          <w:rFonts w:asciiTheme="majorHAnsi" w:hAnsiTheme="majorHAnsi"/>
          <w:sz w:val="24"/>
          <w:szCs w:val="24"/>
        </w:rPr>
      </w:pPr>
    </w:p>
    <w:p w:rsidR="006F02E5" w:rsidRPr="00AA30BD" w:rsidRDefault="006F02E5" w:rsidP="009A0458">
      <w:pPr>
        <w:pStyle w:val="BodyText"/>
        <w:rPr>
          <w:rFonts w:asciiTheme="majorHAnsi" w:hAnsiTheme="majorHAnsi"/>
        </w:rPr>
      </w:pPr>
      <w:r w:rsidRPr="00AA30BD">
        <w:rPr>
          <w:rFonts w:asciiTheme="majorHAnsi" w:hAnsiTheme="majorHAnsi"/>
        </w:rPr>
        <w:t>From January 1 to October 17, 2019, the northwestern Pacific and the South China Sea witnessed the generation of 19 tropical cyclones.  Five made landfall over the coastal areas of China, namely, Tropical Storm M</w:t>
      </w:r>
      <w:r w:rsidR="0033609A">
        <w:rPr>
          <w:rFonts w:asciiTheme="majorHAnsi" w:hAnsiTheme="majorHAnsi"/>
        </w:rPr>
        <w:t>UN</w:t>
      </w:r>
      <w:r w:rsidRPr="00AA30BD">
        <w:rPr>
          <w:rFonts w:asciiTheme="majorHAnsi" w:hAnsiTheme="majorHAnsi"/>
        </w:rPr>
        <w:t>, Tropical Storm W</w:t>
      </w:r>
      <w:r w:rsidR="0033609A">
        <w:rPr>
          <w:rFonts w:asciiTheme="majorHAnsi" w:hAnsiTheme="majorHAnsi"/>
        </w:rPr>
        <w:t>IPHA</w:t>
      </w:r>
      <w:r w:rsidRPr="00AA30BD">
        <w:rPr>
          <w:rFonts w:asciiTheme="majorHAnsi" w:hAnsiTheme="majorHAnsi"/>
        </w:rPr>
        <w:t xml:space="preserve">, Typhoon </w:t>
      </w:r>
      <w:r w:rsidR="0033609A">
        <w:rPr>
          <w:rFonts w:asciiTheme="majorHAnsi" w:hAnsiTheme="majorHAnsi"/>
        </w:rPr>
        <w:t>LEKIMA</w:t>
      </w:r>
      <w:r w:rsidRPr="00AA30BD">
        <w:rPr>
          <w:rFonts w:asciiTheme="majorHAnsi" w:hAnsiTheme="majorHAnsi"/>
        </w:rPr>
        <w:t>, Severe Tropical Storm B</w:t>
      </w:r>
      <w:r w:rsidR="0033609A">
        <w:rPr>
          <w:rFonts w:asciiTheme="majorHAnsi" w:hAnsiTheme="majorHAnsi"/>
        </w:rPr>
        <w:t>AILU</w:t>
      </w:r>
      <w:r w:rsidRPr="00AA30BD">
        <w:rPr>
          <w:rFonts w:asciiTheme="majorHAnsi" w:hAnsiTheme="majorHAnsi"/>
        </w:rPr>
        <w:t xml:space="preserve"> and Typhoon M</w:t>
      </w:r>
      <w:r w:rsidR="0033609A">
        <w:rPr>
          <w:rFonts w:asciiTheme="majorHAnsi" w:hAnsiTheme="majorHAnsi"/>
        </w:rPr>
        <w:t>ITAG</w:t>
      </w:r>
      <w:r w:rsidRPr="00AA30BD">
        <w:rPr>
          <w:rFonts w:asciiTheme="majorHAnsi" w:hAnsiTheme="majorHAnsi"/>
        </w:rPr>
        <w:t>.</w:t>
      </w:r>
    </w:p>
    <w:p w:rsidR="00E45CE9" w:rsidRPr="006F02E5" w:rsidRDefault="00E45CE9" w:rsidP="006F02E5">
      <w:pPr>
        <w:tabs>
          <w:tab w:val="left" w:pos="1076"/>
        </w:tabs>
        <w:ind w:right="131"/>
        <w:rPr>
          <w:rFonts w:asciiTheme="majorHAnsi" w:hAnsiTheme="majorHAnsi"/>
          <w:color w:val="FF0000"/>
          <w:sz w:val="24"/>
          <w:szCs w:val="24"/>
        </w:rPr>
      </w:pPr>
    </w:p>
    <w:p w:rsidR="00E45CE9" w:rsidRPr="0011694E" w:rsidRDefault="00E45CE9" w:rsidP="00FA10ED">
      <w:pPr>
        <w:pStyle w:val="ListParagraph"/>
        <w:ind w:left="0" w:right="0"/>
        <w:rPr>
          <w:rFonts w:asciiTheme="majorHAnsi" w:hAnsiTheme="majorHAnsi"/>
          <w:sz w:val="24"/>
          <w:szCs w:val="24"/>
        </w:rPr>
      </w:pPr>
      <w:r w:rsidRPr="0011694E">
        <w:rPr>
          <w:rFonts w:asciiTheme="majorHAnsi" w:hAnsiTheme="majorHAnsi"/>
          <w:sz w:val="24"/>
          <w:szCs w:val="24"/>
        </w:rPr>
        <w:t>China noted several characteristics of tropical cyclone impacts in the region for 201</w:t>
      </w:r>
      <w:r w:rsidR="00AA30BD" w:rsidRPr="0011694E">
        <w:rPr>
          <w:rFonts w:asciiTheme="majorHAnsi" w:hAnsiTheme="majorHAnsi"/>
          <w:sz w:val="24"/>
          <w:szCs w:val="24"/>
        </w:rPr>
        <w:t>9</w:t>
      </w:r>
      <w:r w:rsidRPr="0011694E">
        <w:rPr>
          <w:rFonts w:asciiTheme="majorHAnsi" w:hAnsiTheme="majorHAnsi"/>
          <w:sz w:val="24"/>
          <w:szCs w:val="24"/>
        </w:rPr>
        <w:t>.  A</w:t>
      </w:r>
      <w:r w:rsidR="00AA30BD" w:rsidRPr="0011694E">
        <w:rPr>
          <w:rFonts w:asciiTheme="majorHAnsi" w:hAnsiTheme="majorHAnsi"/>
          <w:sz w:val="24"/>
          <w:szCs w:val="24"/>
        </w:rPr>
        <w:t>fter an early start to the season, tropical cyclone genesis during the Spring and Summer was below normal, including no genesis in March through May.  The average peak intensity was markedly lower than the long-term average and there were fewer landfalling tropical cyclones in China.  The landfalling systems were relatively low-intensity with</w:t>
      </w:r>
      <w:r w:rsidR="0033609A" w:rsidRPr="0011694E">
        <w:rPr>
          <w:rFonts w:asciiTheme="majorHAnsi" w:hAnsiTheme="majorHAnsi"/>
          <w:sz w:val="24"/>
          <w:szCs w:val="24"/>
        </w:rPr>
        <w:t xml:space="preserve"> the</w:t>
      </w:r>
      <w:r w:rsidR="00AA30BD" w:rsidRPr="0011694E">
        <w:rPr>
          <w:rFonts w:asciiTheme="majorHAnsi" w:hAnsiTheme="majorHAnsi"/>
          <w:sz w:val="24"/>
          <w:szCs w:val="24"/>
        </w:rPr>
        <w:t xml:space="preserve"> notable exception of L</w:t>
      </w:r>
      <w:r w:rsidR="00F86474">
        <w:rPr>
          <w:rFonts w:asciiTheme="majorHAnsi" w:hAnsiTheme="majorHAnsi"/>
          <w:sz w:val="24"/>
          <w:szCs w:val="24"/>
        </w:rPr>
        <w:t>EKIMA</w:t>
      </w:r>
      <w:r w:rsidR="00AA30BD" w:rsidRPr="0011694E">
        <w:rPr>
          <w:rFonts w:asciiTheme="majorHAnsi" w:hAnsiTheme="majorHAnsi"/>
          <w:sz w:val="24"/>
          <w:szCs w:val="24"/>
        </w:rPr>
        <w:t xml:space="preserve"> which made landfall in Zhejiang Province on 10 August.</w:t>
      </w:r>
    </w:p>
    <w:p w:rsidR="0033609A" w:rsidRPr="0011694E" w:rsidRDefault="0033609A" w:rsidP="00FA10ED">
      <w:pPr>
        <w:pStyle w:val="ListParagraph"/>
        <w:ind w:left="0" w:right="0"/>
        <w:rPr>
          <w:rFonts w:asciiTheme="majorHAnsi" w:hAnsiTheme="majorHAnsi"/>
          <w:sz w:val="24"/>
          <w:szCs w:val="24"/>
        </w:rPr>
      </w:pPr>
    </w:p>
    <w:p w:rsidR="0033609A" w:rsidRPr="0011694E" w:rsidRDefault="0033609A" w:rsidP="00FA10ED">
      <w:pPr>
        <w:pStyle w:val="ListParagraph"/>
        <w:ind w:left="0" w:right="0"/>
        <w:rPr>
          <w:rFonts w:asciiTheme="majorHAnsi" w:hAnsiTheme="majorHAnsi"/>
          <w:sz w:val="24"/>
          <w:szCs w:val="24"/>
        </w:rPr>
      </w:pPr>
      <w:r w:rsidRPr="0011694E">
        <w:rPr>
          <w:rFonts w:asciiTheme="majorHAnsi" w:hAnsiTheme="majorHAnsi"/>
          <w:sz w:val="24"/>
          <w:szCs w:val="24"/>
        </w:rPr>
        <w:t>LEKIMA was the 3</w:t>
      </w:r>
      <w:r w:rsidRPr="0011694E">
        <w:rPr>
          <w:rFonts w:asciiTheme="majorHAnsi" w:hAnsiTheme="majorHAnsi"/>
          <w:sz w:val="24"/>
          <w:szCs w:val="24"/>
          <w:vertAlign w:val="superscript"/>
        </w:rPr>
        <w:t>rd</w:t>
      </w:r>
      <w:r w:rsidRPr="0011694E">
        <w:rPr>
          <w:rFonts w:asciiTheme="majorHAnsi" w:hAnsiTheme="majorHAnsi"/>
          <w:sz w:val="24"/>
          <w:szCs w:val="24"/>
        </w:rPr>
        <w:t xml:space="preserve"> strongest typhoon to make landfall in the Zhejiang Province since 1949 and the 5</w:t>
      </w:r>
      <w:r w:rsidRPr="0011694E">
        <w:rPr>
          <w:rFonts w:asciiTheme="majorHAnsi" w:hAnsiTheme="majorHAnsi"/>
          <w:sz w:val="24"/>
          <w:szCs w:val="24"/>
          <w:vertAlign w:val="superscript"/>
        </w:rPr>
        <w:t>th</w:t>
      </w:r>
      <w:r w:rsidRPr="0011694E">
        <w:rPr>
          <w:rFonts w:asciiTheme="majorHAnsi" w:hAnsiTheme="majorHAnsi"/>
          <w:sz w:val="24"/>
          <w:szCs w:val="24"/>
        </w:rPr>
        <w:t xml:space="preserve"> strongest for mainland China overall.  Many rainfall and river stage records were broken.  Warning level flooding was observed for 206 rivers in 12 provinces.</w:t>
      </w:r>
      <w:r w:rsidR="0011694E" w:rsidRPr="0011694E">
        <w:rPr>
          <w:rFonts w:asciiTheme="majorHAnsi" w:hAnsiTheme="majorHAnsi"/>
          <w:sz w:val="24"/>
          <w:szCs w:val="24"/>
        </w:rPr>
        <w:t xml:space="preserve">  Impacts from LEKIMA included 71 people dead or missing, over 2 million people evacuated, and 51.53 billion yuan in direct economic losses.</w:t>
      </w:r>
    </w:p>
    <w:p w:rsidR="00D04D7C" w:rsidRPr="006B25C4" w:rsidRDefault="00D04D7C" w:rsidP="00FA10ED">
      <w:pPr>
        <w:pStyle w:val="ListParagraph"/>
        <w:ind w:left="0" w:right="0"/>
        <w:rPr>
          <w:rFonts w:asciiTheme="majorHAnsi" w:hAnsiTheme="majorHAnsi"/>
          <w:color w:val="FF0000"/>
          <w:sz w:val="24"/>
          <w:szCs w:val="24"/>
        </w:rPr>
      </w:pPr>
      <w:r w:rsidRPr="006B25C4">
        <w:rPr>
          <w:rFonts w:asciiTheme="majorHAnsi" w:hAnsiTheme="majorHAnsi"/>
          <w:color w:val="FF0000"/>
          <w:sz w:val="24"/>
          <w:szCs w:val="24"/>
        </w:rPr>
        <w:br w:type="page"/>
      </w:r>
    </w:p>
    <w:p w:rsidR="006D72A1" w:rsidRPr="00BA1618" w:rsidRDefault="00A77167" w:rsidP="00FA10ED">
      <w:pPr>
        <w:pStyle w:val="ListParagraph"/>
        <w:ind w:left="0" w:right="0"/>
        <w:rPr>
          <w:rFonts w:asciiTheme="majorHAnsi" w:hAnsiTheme="majorHAnsi"/>
          <w:sz w:val="24"/>
          <w:szCs w:val="24"/>
        </w:rPr>
      </w:pPr>
      <w:r w:rsidRPr="00BA1618">
        <w:rPr>
          <w:rFonts w:asciiTheme="majorHAnsi" w:hAnsiTheme="majorHAnsi"/>
          <w:sz w:val="24"/>
          <w:szCs w:val="24"/>
        </w:rPr>
        <w:lastRenderedPageBreak/>
        <w:t>China continues to support important initiatives in the Typ</w:t>
      </w:r>
      <w:r w:rsidR="0011694E" w:rsidRPr="00BA1618">
        <w:rPr>
          <w:rFonts w:asciiTheme="majorHAnsi" w:hAnsiTheme="majorHAnsi"/>
          <w:sz w:val="24"/>
          <w:szCs w:val="24"/>
        </w:rPr>
        <w:t>hoon Committee region.  In May 2019, the Shanghai Meteorological Service and Shanghai Typhoon Institute hosted the 12</w:t>
      </w:r>
      <w:r w:rsidR="0011694E" w:rsidRPr="00BA1618">
        <w:rPr>
          <w:rFonts w:asciiTheme="majorHAnsi" w:hAnsiTheme="majorHAnsi"/>
          <w:sz w:val="24"/>
          <w:szCs w:val="24"/>
          <w:vertAlign w:val="superscript"/>
        </w:rPr>
        <w:t>th</w:t>
      </w:r>
      <w:r w:rsidR="0011694E" w:rsidRPr="00BA1618">
        <w:rPr>
          <w:rFonts w:asciiTheme="majorHAnsi" w:hAnsiTheme="majorHAnsi"/>
          <w:sz w:val="24"/>
          <w:szCs w:val="24"/>
        </w:rPr>
        <w:t xml:space="preserve"> China-Korea Joint Workshop on Tropical Cyclones.  </w:t>
      </w:r>
      <w:r w:rsidRPr="00BA1618">
        <w:rPr>
          <w:rFonts w:asciiTheme="majorHAnsi" w:hAnsiTheme="majorHAnsi"/>
          <w:sz w:val="24"/>
          <w:szCs w:val="24"/>
        </w:rPr>
        <w:t xml:space="preserve">China </w:t>
      </w:r>
      <w:r w:rsidR="00254FA6" w:rsidRPr="00BA1618">
        <w:rPr>
          <w:rFonts w:asciiTheme="majorHAnsi" w:hAnsiTheme="majorHAnsi"/>
          <w:sz w:val="24"/>
          <w:szCs w:val="24"/>
        </w:rPr>
        <w:t xml:space="preserve">coordinated telephone calls with Viet Nam for experts to discuss the track and intensity of Typhoon WIPHA which impacted both southern China and northern Viet Nam.  After the initial telephone calls, China and Viet Nam continued to collaborate using a web-based discussion platform called Typhoon International Conference.  China continues to publish the </w:t>
      </w:r>
      <w:r w:rsidRPr="00BA1618">
        <w:rPr>
          <w:rFonts w:asciiTheme="majorHAnsi" w:hAnsiTheme="majorHAnsi"/>
          <w:i/>
          <w:spacing w:val="-3"/>
          <w:sz w:val="24"/>
          <w:szCs w:val="24"/>
        </w:rPr>
        <w:t xml:space="preserve">Tropical </w:t>
      </w:r>
      <w:r w:rsidRPr="00BA1618">
        <w:rPr>
          <w:rFonts w:asciiTheme="majorHAnsi" w:hAnsiTheme="majorHAnsi"/>
          <w:i/>
          <w:sz w:val="24"/>
          <w:szCs w:val="24"/>
        </w:rPr>
        <w:t xml:space="preserve">Cyclone Research and Review </w:t>
      </w:r>
      <w:r w:rsidRPr="00BA1618">
        <w:rPr>
          <w:rFonts w:asciiTheme="majorHAnsi" w:hAnsiTheme="majorHAnsi"/>
          <w:sz w:val="24"/>
          <w:szCs w:val="24"/>
        </w:rPr>
        <w:t xml:space="preserve">(TCRR) </w:t>
      </w:r>
      <w:r w:rsidR="006D72A1" w:rsidRPr="00BA1618">
        <w:rPr>
          <w:rFonts w:asciiTheme="majorHAnsi" w:hAnsiTheme="majorHAnsi"/>
          <w:sz w:val="24"/>
          <w:szCs w:val="24"/>
        </w:rPr>
        <w:t xml:space="preserve">journal, including </w:t>
      </w:r>
      <w:r w:rsidR="00254FA6" w:rsidRPr="00BA1618">
        <w:rPr>
          <w:rFonts w:asciiTheme="majorHAnsi" w:hAnsiTheme="majorHAnsi"/>
          <w:sz w:val="24"/>
          <w:szCs w:val="24"/>
        </w:rPr>
        <w:t xml:space="preserve">two special issues on the WMO International Workshop on Tropical Cyclones.  Professor Kimberly Wood from Mississippi State University participated in the Typhoon Committee Fellowship for visiting editors in May 2019.  </w:t>
      </w:r>
    </w:p>
    <w:p w:rsidR="00254FA6" w:rsidRPr="00BA1618" w:rsidRDefault="00254FA6" w:rsidP="00FA10ED">
      <w:pPr>
        <w:pStyle w:val="ListParagraph"/>
        <w:ind w:left="0" w:right="0"/>
        <w:rPr>
          <w:rFonts w:asciiTheme="majorHAnsi" w:hAnsiTheme="majorHAnsi"/>
          <w:sz w:val="24"/>
          <w:szCs w:val="24"/>
        </w:rPr>
      </w:pPr>
    </w:p>
    <w:p w:rsidR="00BA1618" w:rsidRPr="00BA1618" w:rsidRDefault="006D72A1" w:rsidP="00FA10ED">
      <w:pPr>
        <w:pStyle w:val="ListParagraph"/>
        <w:ind w:left="0" w:right="0"/>
        <w:rPr>
          <w:rFonts w:asciiTheme="majorHAnsi" w:hAnsiTheme="majorHAnsi"/>
          <w:sz w:val="24"/>
          <w:szCs w:val="24"/>
        </w:rPr>
      </w:pPr>
      <w:r w:rsidRPr="00BA1618">
        <w:rPr>
          <w:rFonts w:asciiTheme="majorHAnsi" w:hAnsiTheme="majorHAnsi"/>
          <w:sz w:val="24"/>
          <w:szCs w:val="24"/>
        </w:rPr>
        <w:t xml:space="preserve">China reported on </w:t>
      </w:r>
      <w:r w:rsidR="00254FA6" w:rsidRPr="00BA1618">
        <w:rPr>
          <w:rFonts w:asciiTheme="majorHAnsi" w:hAnsiTheme="majorHAnsi"/>
          <w:sz w:val="24"/>
          <w:szCs w:val="24"/>
        </w:rPr>
        <w:t>8</w:t>
      </w:r>
      <w:r w:rsidRPr="00BA1618">
        <w:rPr>
          <w:rFonts w:asciiTheme="majorHAnsi" w:hAnsiTheme="majorHAnsi"/>
          <w:sz w:val="24"/>
          <w:szCs w:val="24"/>
        </w:rPr>
        <w:t xml:space="preserve"> initiatives supporting Typh</w:t>
      </w:r>
      <w:r w:rsidR="00BA1618" w:rsidRPr="00BA1618">
        <w:rPr>
          <w:rFonts w:asciiTheme="majorHAnsi" w:hAnsiTheme="majorHAnsi"/>
          <w:sz w:val="24"/>
          <w:szCs w:val="24"/>
        </w:rPr>
        <w:t>oon Committee Priorities in 2019</w:t>
      </w:r>
      <w:r w:rsidRPr="00BA1618">
        <w:rPr>
          <w:rFonts w:asciiTheme="majorHAnsi" w:hAnsiTheme="majorHAnsi"/>
          <w:sz w:val="24"/>
          <w:szCs w:val="24"/>
        </w:rPr>
        <w:t xml:space="preserve">.  Of note were </w:t>
      </w:r>
      <w:r w:rsidR="00BA1618" w:rsidRPr="00BA1618">
        <w:rPr>
          <w:rFonts w:asciiTheme="majorHAnsi" w:hAnsiTheme="majorHAnsi"/>
          <w:sz w:val="24"/>
          <w:szCs w:val="24"/>
        </w:rPr>
        <w:t xml:space="preserve">application of Artificial Intelligence for tropical cyclone intensity estimation, support of WMO Information System implementation, </w:t>
      </w:r>
      <w:r w:rsidRPr="00BA1618">
        <w:rPr>
          <w:rFonts w:asciiTheme="majorHAnsi" w:hAnsiTheme="majorHAnsi"/>
          <w:sz w:val="24"/>
          <w:szCs w:val="24"/>
        </w:rPr>
        <w:t xml:space="preserve">advances in typhoon forecasting techniques, </w:t>
      </w:r>
      <w:r w:rsidR="00BA1618" w:rsidRPr="00BA1618">
        <w:rPr>
          <w:rFonts w:asciiTheme="majorHAnsi" w:hAnsiTheme="majorHAnsi"/>
          <w:sz w:val="24"/>
          <w:szCs w:val="24"/>
        </w:rPr>
        <w:t>continued research on tropical cyclones, improvements in disaster response, disaster risk reduction activities, and extensive operational training opportunities.</w:t>
      </w:r>
    </w:p>
    <w:p w:rsidR="006F3DD1" w:rsidRPr="006B25C4" w:rsidRDefault="006F3DD1">
      <w:pPr>
        <w:pStyle w:val="BodyText"/>
        <w:spacing w:before="5"/>
        <w:rPr>
          <w:rFonts w:asciiTheme="majorHAnsi" w:hAnsiTheme="majorHAnsi"/>
          <w:color w:val="FF0000"/>
        </w:rPr>
      </w:pPr>
    </w:p>
    <w:p w:rsidR="0009211A" w:rsidRPr="00BA1618" w:rsidRDefault="00D04D7C" w:rsidP="0009211A">
      <w:pPr>
        <w:pStyle w:val="ListParagraph"/>
        <w:numPr>
          <w:ilvl w:val="2"/>
          <w:numId w:val="9"/>
        </w:numPr>
        <w:spacing w:before="1"/>
        <w:ind w:right="131"/>
        <w:rPr>
          <w:rFonts w:asciiTheme="majorHAnsi" w:hAnsiTheme="majorHAnsi"/>
          <w:b/>
          <w:sz w:val="24"/>
          <w:szCs w:val="24"/>
        </w:rPr>
      </w:pPr>
      <w:r w:rsidRPr="00BA1618">
        <w:rPr>
          <w:rFonts w:asciiTheme="majorHAnsi" w:hAnsiTheme="majorHAnsi"/>
          <w:b/>
          <w:sz w:val="24"/>
          <w:szCs w:val="24"/>
        </w:rPr>
        <w:t>Democratic People’s Republic of Korea (DPRK).</w:t>
      </w:r>
    </w:p>
    <w:p w:rsidR="00D04D7C" w:rsidRPr="00BA1618" w:rsidRDefault="00D04D7C" w:rsidP="00D04D7C">
      <w:pPr>
        <w:tabs>
          <w:tab w:val="left" w:pos="1076"/>
        </w:tabs>
        <w:spacing w:before="1"/>
        <w:ind w:right="131"/>
        <w:rPr>
          <w:rFonts w:asciiTheme="majorHAnsi" w:hAnsiTheme="majorHAnsi"/>
          <w:sz w:val="24"/>
          <w:szCs w:val="24"/>
        </w:rPr>
      </w:pPr>
    </w:p>
    <w:p w:rsidR="0009211A" w:rsidRPr="00BA1618" w:rsidRDefault="00BA1618" w:rsidP="0009211A">
      <w:pPr>
        <w:tabs>
          <w:tab w:val="left" w:pos="1076"/>
        </w:tabs>
        <w:spacing w:before="1"/>
        <w:ind w:right="131"/>
        <w:rPr>
          <w:rFonts w:asciiTheme="majorHAnsi" w:hAnsiTheme="majorHAnsi"/>
          <w:sz w:val="24"/>
          <w:szCs w:val="24"/>
        </w:rPr>
      </w:pPr>
      <w:r w:rsidRPr="00BA1618">
        <w:rPr>
          <w:rFonts w:asciiTheme="majorHAnsi" w:hAnsiTheme="majorHAnsi"/>
          <w:sz w:val="24"/>
          <w:szCs w:val="24"/>
        </w:rPr>
        <w:t>No report submitted.</w:t>
      </w:r>
    </w:p>
    <w:p w:rsidR="00BA1618" w:rsidRPr="006B25C4" w:rsidRDefault="00BA1618" w:rsidP="0009211A">
      <w:pPr>
        <w:tabs>
          <w:tab w:val="left" w:pos="1076"/>
        </w:tabs>
        <w:spacing w:before="1"/>
        <w:ind w:right="131"/>
        <w:rPr>
          <w:rFonts w:asciiTheme="majorHAnsi" w:hAnsiTheme="majorHAnsi"/>
          <w:color w:val="FF0000"/>
          <w:sz w:val="24"/>
          <w:szCs w:val="24"/>
        </w:rPr>
      </w:pPr>
    </w:p>
    <w:p w:rsidR="0009211A" w:rsidRPr="004027B3" w:rsidRDefault="00C81C08" w:rsidP="0009211A">
      <w:pPr>
        <w:pStyle w:val="ListParagraph"/>
        <w:numPr>
          <w:ilvl w:val="2"/>
          <w:numId w:val="9"/>
        </w:numPr>
        <w:tabs>
          <w:tab w:val="left" w:pos="1076"/>
        </w:tabs>
        <w:spacing w:before="1"/>
        <w:ind w:right="131"/>
        <w:rPr>
          <w:rFonts w:asciiTheme="majorHAnsi" w:hAnsiTheme="majorHAnsi"/>
          <w:b/>
          <w:sz w:val="24"/>
          <w:szCs w:val="24"/>
        </w:rPr>
      </w:pPr>
      <w:r w:rsidRPr="004027B3">
        <w:rPr>
          <w:rFonts w:asciiTheme="majorHAnsi" w:hAnsiTheme="majorHAnsi"/>
          <w:b/>
          <w:sz w:val="24"/>
          <w:szCs w:val="24"/>
        </w:rPr>
        <w:t xml:space="preserve">Hong Kong, China.  </w:t>
      </w:r>
      <w:r w:rsidR="00737FF9" w:rsidRPr="004027B3">
        <w:rPr>
          <w:rFonts w:asciiTheme="majorHAnsi" w:hAnsiTheme="majorHAnsi"/>
          <w:b/>
          <w:sz w:val="24"/>
          <w:szCs w:val="24"/>
        </w:rPr>
        <w:t xml:space="preserve">  </w:t>
      </w:r>
    </w:p>
    <w:p w:rsidR="00D04D7C" w:rsidRPr="004027B3" w:rsidRDefault="00D04D7C" w:rsidP="00737FF9">
      <w:pPr>
        <w:pStyle w:val="BodyText"/>
        <w:jc w:val="both"/>
        <w:rPr>
          <w:rFonts w:asciiTheme="majorHAnsi" w:hAnsiTheme="majorHAnsi"/>
          <w:b/>
        </w:rPr>
      </w:pPr>
    </w:p>
    <w:p w:rsidR="007E217D" w:rsidRPr="004027B3" w:rsidRDefault="00E56F50" w:rsidP="007E217D">
      <w:pPr>
        <w:tabs>
          <w:tab w:val="left" w:pos="1076"/>
        </w:tabs>
        <w:spacing w:before="5"/>
        <w:ind w:right="171"/>
        <w:jc w:val="both"/>
        <w:rPr>
          <w:rFonts w:asciiTheme="majorHAnsi" w:hAnsiTheme="majorHAnsi"/>
          <w:sz w:val="24"/>
          <w:szCs w:val="24"/>
        </w:rPr>
      </w:pPr>
      <w:r w:rsidRPr="004027B3">
        <w:rPr>
          <w:rFonts w:asciiTheme="majorHAnsi" w:hAnsiTheme="majorHAnsi"/>
          <w:sz w:val="24"/>
          <w:szCs w:val="24"/>
        </w:rPr>
        <w:t>Five tropical cyclones affected Hong Kong, China fr</w:t>
      </w:r>
      <w:r w:rsidR="004027B3" w:rsidRPr="004027B3">
        <w:rPr>
          <w:rFonts w:asciiTheme="majorHAnsi" w:hAnsiTheme="majorHAnsi"/>
          <w:sz w:val="24"/>
          <w:szCs w:val="24"/>
        </w:rPr>
        <w:t>om 1 January to 28 October 2019:  Tropical Depression M</w:t>
      </w:r>
      <w:r w:rsidR="00F86474">
        <w:rPr>
          <w:rFonts w:asciiTheme="majorHAnsi" w:hAnsiTheme="majorHAnsi"/>
          <w:sz w:val="24"/>
          <w:szCs w:val="24"/>
        </w:rPr>
        <w:t>UN</w:t>
      </w:r>
      <w:r w:rsidRPr="004027B3">
        <w:rPr>
          <w:rFonts w:asciiTheme="majorHAnsi" w:hAnsiTheme="majorHAnsi"/>
          <w:sz w:val="24"/>
          <w:szCs w:val="24"/>
        </w:rPr>
        <w:t xml:space="preserve"> in J</w:t>
      </w:r>
      <w:r w:rsidR="004027B3" w:rsidRPr="004027B3">
        <w:rPr>
          <w:rFonts w:asciiTheme="majorHAnsi" w:hAnsiTheme="majorHAnsi"/>
          <w:sz w:val="24"/>
          <w:szCs w:val="24"/>
        </w:rPr>
        <w:t>uly, Tropical Strom W</w:t>
      </w:r>
      <w:r w:rsidR="00F86474">
        <w:rPr>
          <w:rFonts w:asciiTheme="majorHAnsi" w:hAnsiTheme="majorHAnsi"/>
          <w:sz w:val="24"/>
          <w:szCs w:val="24"/>
        </w:rPr>
        <w:t>IPHA</w:t>
      </w:r>
      <w:r w:rsidR="004027B3" w:rsidRPr="004027B3">
        <w:rPr>
          <w:rFonts w:asciiTheme="majorHAnsi" w:hAnsiTheme="majorHAnsi"/>
          <w:sz w:val="24"/>
          <w:szCs w:val="24"/>
        </w:rPr>
        <w:t>, Severe Tropical Storm B</w:t>
      </w:r>
      <w:r w:rsidR="00F86474">
        <w:rPr>
          <w:rFonts w:asciiTheme="majorHAnsi" w:hAnsiTheme="majorHAnsi"/>
          <w:sz w:val="24"/>
          <w:szCs w:val="24"/>
        </w:rPr>
        <w:t>AILU</w:t>
      </w:r>
      <w:r w:rsidR="004027B3" w:rsidRPr="004027B3">
        <w:rPr>
          <w:rFonts w:asciiTheme="majorHAnsi" w:hAnsiTheme="majorHAnsi"/>
          <w:sz w:val="24"/>
          <w:szCs w:val="24"/>
        </w:rPr>
        <w:t xml:space="preserve"> and Tropical Storm P</w:t>
      </w:r>
      <w:r w:rsidR="00F86474">
        <w:rPr>
          <w:rFonts w:asciiTheme="majorHAnsi" w:hAnsiTheme="majorHAnsi"/>
          <w:sz w:val="24"/>
          <w:szCs w:val="24"/>
        </w:rPr>
        <w:t>ODUL</w:t>
      </w:r>
      <w:r w:rsidR="004027B3" w:rsidRPr="004027B3">
        <w:rPr>
          <w:rFonts w:asciiTheme="majorHAnsi" w:hAnsiTheme="majorHAnsi"/>
          <w:sz w:val="24"/>
          <w:szCs w:val="24"/>
        </w:rPr>
        <w:t xml:space="preserve"> </w:t>
      </w:r>
      <w:r w:rsidRPr="004027B3">
        <w:rPr>
          <w:rFonts w:asciiTheme="majorHAnsi" w:hAnsiTheme="majorHAnsi"/>
          <w:sz w:val="24"/>
          <w:szCs w:val="24"/>
        </w:rPr>
        <w:t>in Au</w:t>
      </w:r>
      <w:r w:rsidR="004027B3" w:rsidRPr="004027B3">
        <w:rPr>
          <w:rFonts w:asciiTheme="majorHAnsi" w:hAnsiTheme="majorHAnsi"/>
          <w:sz w:val="24"/>
          <w:szCs w:val="24"/>
        </w:rPr>
        <w:t>gust, and Tropical Depression K</w:t>
      </w:r>
      <w:r w:rsidR="00F86474">
        <w:rPr>
          <w:rFonts w:asciiTheme="majorHAnsi" w:hAnsiTheme="majorHAnsi"/>
          <w:sz w:val="24"/>
          <w:szCs w:val="24"/>
        </w:rPr>
        <w:t>AJIKI</w:t>
      </w:r>
      <w:r w:rsidR="004027B3" w:rsidRPr="004027B3">
        <w:rPr>
          <w:rFonts w:asciiTheme="majorHAnsi" w:hAnsiTheme="majorHAnsi"/>
          <w:sz w:val="24"/>
          <w:szCs w:val="24"/>
        </w:rPr>
        <w:t xml:space="preserve"> </w:t>
      </w:r>
      <w:r w:rsidRPr="004027B3">
        <w:rPr>
          <w:rFonts w:asciiTheme="majorHAnsi" w:hAnsiTheme="majorHAnsi"/>
          <w:sz w:val="24"/>
          <w:szCs w:val="24"/>
        </w:rPr>
        <w:t>in September.</w:t>
      </w:r>
    </w:p>
    <w:p w:rsidR="00E56F50" w:rsidRDefault="00E56F50" w:rsidP="007E217D">
      <w:pPr>
        <w:tabs>
          <w:tab w:val="left" w:pos="1076"/>
        </w:tabs>
        <w:spacing w:before="5"/>
        <w:ind w:right="171"/>
        <w:jc w:val="both"/>
        <w:rPr>
          <w:rFonts w:asciiTheme="majorHAnsi" w:hAnsiTheme="majorHAnsi"/>
          <w:color w:val="FF0000"/>
          <w:sz w:val="24"/>
          <w:szCs w:val="24"/>
        </w:rPr>
      </w:pPr>
    </w:p>
    <w:p w:rsidR="004027B3" w:rsidRPr="00F30F94" w:rsidRDefault="004027B3" w:rsidP="007E217D">
      <w:pPr>
        <w:tabs>
          <w:tab w:val="left" w:pos="1076"/>
        </w:tabs>
        <w:spacing w:before="5"/>
        <w:ind w:right="171"/>
        <w:jc w:val="both"/>
        <w:rPr>
          <w:rFonts w:asciiTheme="majorHAnsi" w:hAnsiTheme="majorHAnsi"/>
          <w:sz w:val="24"/>
          <w:szCs w:val="24"/>
        </w:rPr>
      </w:pPr>
      <w:r w:rsidRPr="00F30F94">
        <w:rPr>
          <w:rFonts w:asciiTheme="majorHAnsi" w:hAnsiTheme="majorHAnsi"/>
          <w:sz w:val="24"/>
          <w:szCs w:val="24"/>
        </w:rPr>
        <w:t>In Hong Kong, W</w:t>
      </w:r>
      <w:r w:rsidR="00F86474">
        <w:rPr>
          <w:rFonts w:asciiTheme="majorHAnsi" w:hAnsiTheme="majorHAnsi"/>
          <w:sz w:val="24"/>
          <w:szCs w:val="24"/>
        </w:rPr>
        <w:t>IPHA</w:t>
      </w:r>
      <w:r w:rsidRPr="00F30F94">
        <w:rPr>
          <w:rFonts w:asciiTheme="majorHAnsi" w:hAnsiTheme="majorHAnsi"/>
          <w:sz w:val="24"/>
          <w:szCs w:val="24"/>
        </w:rPr>
        <w:t xml:space="preserve"> necessitated the issuance of the No. 8 Gale or Storm Signal, while K</w:t>
      </w:r>
      <w:r w:rsidR="00F86474">
        <w:rPr>
          <w:rFonts w:asciiTheme="majorHAnsi" w:hAnsiTheme="majorHAnsi"/>
          <w:sz w:val="24"/>
          <w:szCs w:val="24"/>
        </w:rPr>
        <w:t>AJIKI</w:t>
      </w:r>
      <w:r w:rsidRPr="00F30F94">
        <w:rPr>
          <w:rFonts w:asciiTheme="majorHAnsi" w:hAnsiTheme="majorHAnsi"/>
          <w:sz w:val="24"/>
          <w:szCs w:val="24"/>
        </w:rPr>
        <w:t xml:space="preserve"> necessitated the issuance of No. 3 Strong Wind Signal. M</w:t>
      </w:r>
      <w:r w:rsidR="00F86474">
        <w:rPr>
          <w:rFonts w:asciiTheme="majorHAnsi" w:hAnsiTheme="majorHAnsi"/>
          <w:sz w:val="24"/>
          <w:szCs w:val="24"/>
        </w:rPr>
        <w:t>UN</w:t>
      </w:r>
      <w:r w:rsidRPr="00F30F94">
        <w:rPr>
          <w:rFonts w:asciiTheme="majorHAnsi" w:hAnsiTheme="majorHAnsi"/>
          <w:sz w:val="24"/>
          <w:szCs w:val="24"/>
        </w:rPr>
        <w:t>, B</w:t>
      </w:r>
      <w:r w:rsidR="00F86474">
        <w:rPr>
          <w:rFonts w:asciiTheme="majorHAnsi" w:hAnsiTheme="majorHAnsi"/>
          <w:sz w:val="24"/>
          <w:szCs w:val="24"/>
        </w:rPr>
        <w:t>AILU</w:t>
      </w:r>
      <w:r w:rsidRPr="00F30F94">
        <w:rPr>
          <w:rFonts w:asciiTheme="majorHAnsi" w:hAnsiTheme="majorHAnsi"/>
          <w:sz w:val="24"/>
          <w:szCs w:val="24"/>
        </w:rPr>
        <w:t xml:space="preserve"> and P</w:t>
      </w:r>
      <w:r w:rsidR="00F86474">
        <w:rPr>
          <w:rFonts w:asciiTheme="majorHAnsi" w:hAnsiTheme="majorHAnsi"/>
          <w:sz w:val="24"/>
          <w:szCs w:val="24"/>
        </w:rPr>
        <w:t>ODUL</w:t>
      </w:r>
      <w:r w:rsidRPr="00F30F94">
        <w:rPr>
          <w:rFonts w:asciiTheme="majorHAnsi" w:hAnsiTheme="majorHAnsi"/>
          <w:sz w:val="24"/>
          <w:szCs w:val="24"/>
        </w:rPr>
        <w:t xml:space="preserve"> only necessitated the issuance of No.1 Standby Signal. Although W</w:t>
      </w:r>
      <w:r w:rsidR="00F86474">
        <w:rPr>
          <w:rFonts w:asciiTheme="majorHAnsi" w:hAnsiTheme="majorHAnsi"/>
          <w:sz w:val="24"/>
          <w:szCs w:val="24"/>
        </w:rPr>
        <w:t>IPHA</w:t>
      </w:r>
      <w:r w:rsidRPr="00F30F94">
        <w:rPr>
          <w:rFonts w:asciiTheme="majorHAnsi" w:hAnsiTheme="majorHAnsi"/>
          <w:sz w:val="24"/>
          <w:szCs w:val="24"/>
        </w:rPr>
        <w:t xml:space="preserve"> skirted past at about 310 km of the territory, its extensive circulation and asymmetric wind structure made it the farthest tropical storm necessitating the issuance of No.8 Gale or Storm Signal in Hong Kong since 1961.</w:t>
      </w:r>
    </w:p>
    <w:p w:rsidR="004027B3" w:rsidRPr="00F30F94" w:rsidRDefault="004027B3" w:rsidP="007E217D">
      <w:pPr>
        <w:tabs>
          <w:tab w:val="left" w:pos="1076"/>
        </w:tabs>
        <w:spacing w:before="5"/>
        <w:ind w:right="171"/>
        <w:jc w:val="both"/>
        <w:rPr>
          <w:rFonts w:asciiTheme="majorHAnsi" w:hAnsiTheme="majorHAnsi"/>
          <w:sz w:val="24"/>
          <w:szCs w:val="24"/>
        </w:rPr>
      </w:pPr>
    </w:p>
    <w:p w:rsidR="004027B3" w:rsidRPr="00F30F94" w:rsidRDefault="004027B3" w:rsidP="007E217D">
      <w:pPr>
        <w:tabs>
          <w:tab w:val="left" w:pos="1076"/>
        </w:tabs>
        <w:spacing w:before="5"/>
        <w:ind w:right="171"/>
        <w:jc w:val="both"/>
        <w:rPr>
          <w:rFonts w:asciiTheme="majorHAnsi" w:hAnsiTheme="majorHAnsi"/>
          <w:sz w:val="24"/>
          <w:szCs w:val="24"/>
        </w:rPr>
      </w:pPr>
      <w:r w:rsidRPr="00F30F94">
        <w:rPr>
          <w:rFonts w:asciiTheme="majorHAnsi" w:hAnsiTheme="majorHAnsi"/>
          <w:sz w:val="24"/>
          <w:szCs w:val="24"/>
        </w:rPr>
        <w:t>W</w:t>
      </w:r>
      <w:r w:rsidR="00F86474">
        <w:rPr>
          <w:rFonts w:asciiTheme="majorHAnsi" w:hAnsiTheme="majorHAnsi"/>
          <w:sz w:val="24"/>
          <w:szCs w:val="24"/>
        </w:rPr>
        <w:t>IPHA</w:t>
      </w:r>
      <w:r w:rsidRPr="00F30F94">
        <w:rPr>
          <w:rFonts w:asciiTheme="majorHAnsi" w:hAnsiTheme="majorHAnsi"/>
          <w:sz w:val="24"/>
          <w:szCs w:val="24"/>
        </w:rPr>
        <w:t xml:space="preserve"> produced the most impacts for Hong Kong, including widespread rainfall totals exceeding 250mm with some areas receiving over 350 mm.</w:t>
      </w:r>
      <w:r w:rsidR="00F30F94" w:rsidRPr="00F30F94">
        <w:rPr>
          <w:rFonts w:asciiTheme="majorHAnsi" w:hAnsiTheme="majorHAnsi"/>
          <w:sz w:val="24"/>
          <w:szCs w:val="24"/>
        </w:rPr>
        <w:t xml:space="preserve">  Strong winds caused a tower crane to fall along with various scaffolding around the city.  Over 850 fallen trees were reported.  Heavy rain, flooding, and landslides also produced damage to buildings, homes, and farmland.</w:t>
      </w:r>
    </w:p>
    <w:p w:rsidR="00F30F94" w:rsidRDefault="00F30F94" w:rsidP="00737FF9">
      <w:pPr>
        <w:pStyle w:val="BodyText"/>
        <w:jc w:val="both"/>
        <w:rPr>
          <w:rFonts w:asciiTheme="majorHAnsi" w:hAnsiTheme="majorHAnsi"/>
          <w:color w:val="FF0000"/>
        </w:rPr>
      </w:pPr>
    </w:p>
    <w:p w:rsidR="00F30F94" w:rsidRPr="00F30F94" w:rsidRDefault="00F30F94" w:rsidP="00737FF9">
      <w:pPr>
        <w:pStyle w:val="BodyText"/>
        <w:jc w:val="both"/>
        <w:rPr>
          <w:rFonts w:asciiTheme="majorHAnsi" w:hAnsiTheme="majorHAnsi"/>
        </w:rPr>
      </w:pPr>
      <w:r w:rsidRPr="00F30F94">
        <w:rPr>
          <w:rFonts w:asciiTheme="majorHAnsi" w:hAnsiTheme="majorHAnsi"/>
        </w:rPr>
        <w:t>HKO continues to be very active in supporting WMO programs.  The Director of the Hong Kong Observatory (HKO), Mr</w:t>
      </w:r>
      <w:r w:rsidR="00F86474">
        <w:rPr>
          <w:rFonts w:asciiTheme="majorHAnsi" w:hAnsiTheme="majorHAnsi"/>
        </w:rPr>
        <w:t>.</w:t>
      </w:r>
      <w:r w:rsidRPr="00F30F94">
        <w:rPr>
          <w:rFonts w:asciiTheme="majorHAnsi" w:hAnsiTheme="majorHAnsi"/>
        </w:rPr>
        <w:t xml:space="preserve"> Shun Chi-</w:t>
      </w:r>
      <w:proofErr w:type="spellStart"/>
      <w:r w:rsidRPr="00F30F94">
        <w:rPr>
          <w:rFonts w:asciiTheme="majorHAnsi" w:hAnsiTheme="majorHAnsi"/>
        </w:rPr>
        <w:t>ming</w:t>
      </w:r>
      <w:proofErr w:type="spellEnd"/>
      <w:r w:rsidRPr="00F30F94">
        <w:rPr>
          <w:rFonts w:asciiTheme="majorHAnsi" w:hAnsiTheme="majorHAnsi"/>
        </w:rPr>
        <w:t xml:space="preserve">, was elected a co Vice-President of the Commission for Weather, Climate, Water and Related Environmental Services and Applications of the World Meteorological Organization (WMO) at the 18th World Meteorological Congress held in Geneva, Switzerland.  HKO was also designated by WMO as the Regional </w:t>
      </w:r>
      <w:proofErr w:type="spellStart"/>
      <w:r w:rsidRPr="00F30F94">
        <w:rPr>
          <w:rFonts w:asciiTheme="majorHAnsi" w:hAnsiTheme="majorHAnsi"/>
        </w:rPr>
        <w:t>Specialised</w:t>
      </w:r>
      <w:proofErr w:type="spellEnd"/>
      <w:r w:rsidRPr="00F30F94">
        <w:rPr>
          <w:rFonts w:asciiTheme="majorHAnsi" w:hAnsiTheme="majorHAnsi"/>
        </w:rPr>
        <w:t xml:space="preserve"> Meteorological Centre (RSMC) for Nowcasting and the Testbed for Doppler Light Detection and Ranging systems. Moreover, HKO continued to operate the WMO Tropical Cyclone Forecaster Website, Severe Weather Information </w:t>
      </w:r>
      <w:r w:rsidRPr="00F30F94">
        <w:rPr>
          <w:rFonts w:asciiTheme="majorHAnsi" w:hAnsiTheme="majorHAnsi"/>
        </w:rPr>
        <w:lastRenderedPageBreak/>
        <w:t>Centre website SWIC 2.0 website and Global Multi-hazard Alert System for Asia on behalf of WMO.</w:t>
      </w:r>
    </w:p>
    <w:p w:rsidR="008071CD" w:rsidRDefault="008071CD" w:rsidP="00737FF9">
      <w:pPr>
        <w:pStyle w:val="BodyText"/>
        <w:jc w:val="both"/>
        <w:rPr>
          <w:rFonts w:asciiTheme="majorHAnsi" w:hAnsiTheme="majorHAnsi"/>
          <w:color w:val="FF0000"/>
        </w:rPr>
      </w:pPr>
    </w:p>
    <w:p w:rsidR="00BB5EC7" w:rsidRPr="00BB5EC7" w:rsidRDefault="00BB5EC7" w:rsidP="00737FF9">
      <w:pPr>
        <w:pStyle w:val="BodyText"/>
        <w:jc w:val="both"/>
        <w:rPr>
          <w:rFonts w:asciiTheme="majorHAnsi" w:hAnsiTheme="majorHAnsi"/>
        </w:rPr>
      </w:pPr>
      <w:r w:rsidRPr="00BB5EC7">
        <w:rPr>
          <w:rFonts w:asciiTheme="majorHAnsi" w:hAnsiTheme="majorHAnsi"/>
        </w:rPr>
        <w:t>Hong K</w:t>
      </w:r>
      <w:r w:rsidR="002550FF">
        <w:rPr>
          <w:rFonts w:asciiTheme="majorHAnsi" w:hAnsiTheme="majorHAnsi"/>
        </w:rPr>
        <w:t>ong reported on 12 initiatives</w:t>
      </w:r>
      <w:r w:rsidRPr="00BB5EC7">
        <w:rPr>
          <w:rFonts w:asciiTheme="majorHAnsi" w:hAnsiTheme="majorHAnsi"/>
        </w:rPr>
        <w:t xml:space="preserve"> supporting Typhoon Committee Priorities in 2019.  In addition to their collaborative efforts in support of WMO, other notable achievements include enhancements which allow in-flight transmission of data from the Government Flying Service reconnaissance aircraft, deployment of drifter buoys, and their ever expanding education and outreach campaign.</w:t>
      </w:r>
    </w:p>
    <w:p w:rsidR="00DA6E13" w:rsidRPr="006B25C4" w:rsidRDefault="00DA6E13" w:rsidP="00DA6E13">
      <w:pPr>
        <w:pStyle w:val="BodyText"/>
        <w:jc w:val="both"/>
        <w:rPr>
          <w:rFonts w:asciiTheme="majorHAnsi" w:hAnsiTheme="majorHAnsi"/>
          <w:color w:val="FF0000"/>
        </w:rPr>
      </w:pPr>
    </w:p>
    <w:p w:rsidR="00DA6E13" w:rsidRPr="00BC2614" w:rsidRDefault="00C649B4" w:rsidP="0009211A">
      <w:pPr>
        <w:pStyle w:val="BodyText"/>
        <w:numPr>
          <w:ilvl w:val="2"/>
          <w:numId w:val="9"/>
        </w:numPr>
        <w:jc w:val="both"/>
        <w:rPr>
          <w:rFonts w:asciiTheme="majorHAnsi" w:hAnsiTheme="majorHAnsi"/>
          <w:b/>
        </w:rPr>
      </w:pPr>
      <w:r w:rsidRPr="00BC2614">
        <w:rPr>
          <w:rFonts w:asciiTheme="majorHAnsi" w:hAnsiTheme="majorHAnsi"/>
          <w:b/>
        </w:rPr>
        <w:t xml:space="preserve">Japan.  </w:t>
      </w:r>
    </w:p>
    <w:p w:rsidR="0009211A" w:rsidRPr="00BC2614" w:rsidRDefault="0009211A" w:rsidP="0009211A">
      <w:pPr>
        <w:pStyle w:val="BodyText"/>
        <w:jc w:val="both"/>
        <w:rPr>
          <w:rFonts w:asciiTheme="majorHAnsi" w:hAnsiTheme="majorHAnsi"/>
        </w:rPr>
      </w:pPr>
    </w:p>
    <w:p w:rsidR="00623E00" w:rsidRPr="00BC2614" w:rsidRDefault="00BC2614" w:rsidP="00623E00">
      <w:pPr>
        <w:tabs>
          <w:tab w:val="left" w:pos="116"/>
          <w:tab w:val="left" w:pos="1080"/>
        </w:tabs>
        <w:spacing w:line="274" w:lineRule="exact"/>
        <w:rPr>
          <w:rFonts w:asciiTheme="majorHAnsi" w:hAnsiTheme="majorHAnsi"/>
          <w:sz w:val="24"/>
          <w:szCs w:val="24"/>
        </w:rPr>
      </w:pPr>
      <w:r w:rsidRPr="00BC2614">
        <w:rPr>
          <w:rFonts w:asciiTheme="majorHAnsi" w:hAnsiTheme="majorHAnsi"/>
          <w:sz w:val="24"/>
          <w:szCs w:val="24"/>
        </w:rPr>
        <w:t xml:space="preserve">In 2019, 19 tropical cyclones (TCs) of tropical storm (TS) intensity or higher had come within 300 km of the Japanese islands as of 16 October. The country was affected by eight of these, with five making landfall. </w:t>
      </w:r>
    </w:p>
    <w:p w:rsidR="00BC2614" w:rsidRDefault="00BC2614" w:rsidP="00623E00">
      <w:pPr>
        <w:tabs>
          <w:tab w:val="left" w:pos="116"/>
          <w:tab w:val="left" w:pos="1080"/>
        </w:tabs>
        <w:spacing w:line="274" w:lineRule="exact"/>
        <w:rPr>
          <w:rFonts w:asciiTheme="majorHAnsi" w:hAnsiTheme="majorHAnsi"/>
          <w:color w:val="FF0000"/>
          <w:sz w:val="24"/>
          <w:szCs w:val="24"/>
        </w:rPr>
      </w:pPr>
    </w:p>
    <w:p w:rsidR="00BC2614" w:rsidRPr="00BC2614" w:rsidRDefault="00BC2614" w:rsidP="00623E00">
      <w:pPr>
        <w:tabs>
          <w:tab w:val="left" w:pos="116"/>
          <w:tab w:val="left" w:pos="1080"/>
        </w:tabs>
        <w:spacing w:line="274" w:lineRule="exact"/>
        <w:rPr>
          <w:rFonts w:asciiTheme="majorHAnsi" w:hAnsiTheme="majorHAnsi"/>
          <w:sz w:val="24"/>
          <w:szCs w:val="24"/>
        </w:rPr>
      </w:pPr>
      <w:r w:rsidRPr="00BC2614">
        <w:rPr>
          <w:rFonts w:asciiTheme="majorHAnsi" w:hAnsiTheme="majorHAnsi"/>
          <w:sz w:val="24"/>
          <w:szCs w:val="24"/>
        </w:rPr>
        <w:t>Typhoon H</w:t>
      </w:r>
      <w:r w:rsidR="00F86474">
        <w:rPr>
          <w:rFonts w:asciiTheme="majorHAnsi" w:hAnsiTheme="majorHAnsi"/>
          <w:sz w:val="24"/>
          <w:szCs w:val="24"/>
        </w:rPr>
        <w:t>AGAPIS</w:t>
      </w:r>
      <w:r w:rsidRPr="00BC2614">
        <w:rPr>
          <w:rFonts w:asciiTheme="majorHAnsi" w:hAnsiTheme="majorHAnsi"/>
          <w:sz w:val="24"/>
          <w:szCs w:val="24"/>
        </w:rPr>
        <w:t xml:space="preserve"> produced the most significant impacts for Japan. Typhoon H</w:t>
      </w:r>
      <w:r w:rsidR="00F86474">
        <w:rPr>
          <w:rFonts w:asciiTheme="majorHAnsi" w:hAnsiTheme="majorHAnsi"/>
          <w:sz w:val="24"/>
          <w:szCs w:val="24"/>
        </w:rPr>
        <w:t>AGAPIS</w:t>
      </w:r>
      <w:r w:rsidRPr="00BC2614">
        <w:rPr>
          <w:rFonts w:asciiTheme="majorHAnsi" w:hAnsiTheme="majorHAnsi"/>
          <w:sz w:val="24"/>
          <w:szCs w:val="24"/>
        </w:rPr>
        <w:t xml:space="preserve"> moved across portions of Western Japan on 12-13 October 2019, producing record rainfall in the Tokyo and surrounding areas.  Kanagawa received over 1000 mm of rainfall and 17 other locations received over 500 mm.  The torrential rains caused flooding and levee breaches in many places.  Seventy people died, 11 people were missing, and 52,989 houses were inundated.</w:t>
      </w:r>
    </w:p>
    <w:p w:rsidR="009401F9" w:rsidRPr="00BC2614" w:rsidRDefault="009401F9" w:rsidP="0009211A">
      <w:pPr>
        <w:spacing w:line="274" w:lineRule="exact"/>
        <w:jc w:val="both"/>
        <w:rPr>
          <w:rFonts w:asciiTheme="majorHAnsi" w:hAnsiTheme="majorHAnsi"/>
          <w:sz w:val="24"/>
          <w:szCs w:val="24"/>
        </w:rPr>
      </w:pPr>
    </w:p>
    <w:p w:rsidR="00A04EC0" w:rsidRPr="00062091" w:rsidRDefault="002550FF" w:rsidP="0009211A">
      <w:pPr>
        <w:spacing w:line="274" w:lineRule="exact"/>
        <w:jc w:val="both"/>
        <w:rPr>
          <w:rFonts w:asciiTheme="majorHAnsi" w:hAnsiTheme="majorHAnsi"/>
        </w:rPr>
      </w:pPr>
      <w:r w:rsidRPr="00062091">
        <w:rPr>
          <w:rFonts w:asciiTheme="majorHAnsi" w:hAnsiTheme="majorHAnsi"/>
          <w:sz w:val="24"/>
          <w:szCs w:val="24"/>
        </w:rPr>
        <w:t xml:space="preserve">Japan detailed 8 key initiatives </w:t>
      </w:r>
      <w:r w:rsidRPr="00062091">
        <w:rPr>
          <w:rFonts w:asciiTheme="majorHAnsi" w:hAnsiTheme="majorHAnsi"/>
        </w:rPr>
        <w:t xml:space="preserve">supporting Typhoon Committee Priorities in 2019.  Amongst these initiatives, the RSMC Tokyo – Typhoon Center has improved its approach to determining probability-circle radii for operational TC track forecasts resulting in a 20 percent reduction of the radii out to 5 days.  The JMA Meteorological Satellite Center also developed a method to estimate surface winds around a tropical cyclone.  The resulting </w:t>
      </w:r>
      <w:proofErr w:type="spellStart"/>
      <w:r w:rsidRPr="00062091">
        <w:rPr>
          <w:rFonts w:asciiTheme="majorHAnsi" w:hAnsiTheme="majorHAnsi"/>
        </w:rPr>
        <w:t>ASWind</w:t>
      </w:r>
      <w:proofErr w:type="spellEnd"/>
      <w:r w:rsidRPr="00062091">
        <w:rPr>
          <w:rFonts w:asciiTheme="majorHAnsi" w:hAnsiTheme="majorHAnsi"/>
        </w:rPr>
        <w:t xml:space="preserve"> products are availa</w:t>
      </w:r>
      <w:r w:rsidR="00A04EC0" w:rsidRPr="00062091">
        <w:rPr>
          <w:rFonts w:asciiTheme="majorHAnsi" w:hAnsiTheme="majorHAnsi"/>
        </w:rPr>
        <w:t xml:space="preserve">ble for </w:t>
      </w:r>
      <w:proofErr w:type="spellStart"/>
      <w:r w:rsidR="00A04EC0" w:rsidRPr="00062091">
        <w:rPr>
          <w:rFonts w:asciiTheme="majorHAnsi" w:hAnsiTheme="majorHAnsi"/>
        </w:rPr>
        <w:t>Himawari</w:t>
      </w:r>
      <w:proofErr w:type="spellEnd"/>
      <w:r w:rsidR="00A04EC0" w:rsidRPr="00062091">
        <w:rPr>
          <w:rFonts w:asciiTheme="majorHAnsi" w:hAnsiTheme="majorHAnsi"/>
        </w:rPr>
        <w:t xml:space="preserve"> 8/9</w:t>
      </w:r>
      <w:r w:rsidRPr="00062091">
        <w:rPr>
          <w:rFonts w:asciiTheme="majorHAnsi" w:hAnsiTheme="majorHAnsi"/>
        </w:rPr>
        <w:t xml:space="preserve"> full-disk and </w:t>
      </w:r>
      <w:r w:rsidR="00A04EC0" w:rsidRPr="00062091">
        <w:rPr>
          <w:rFonts w:asciiTheme="majorHAnsi" w:hAnsiTheme="majorHAnsi"/>
        </w:rPr>
        <w:t xml:space="preserve">target sectors.  The RSMC Tokyo – Typhoon Center continues to upgrade the Numerical Typhoon Prediction website with new features and products.  </w:t>
      </w:r>
    </w:p>
    <w:p w:rsidR="00A04EC0" w:rsidRDefault="00A04EC0" w:rsidP="0009211A">
      <w:pPr>
        <w:spacing w:line="274" w:lineRule="exact"/>
        <w:jc w:val="both"/>
        <w:rPr>
          <w:rFonts w:asciiTheme="majorHAnsi" w:hAnsiTheme="majorHAnsi"/>
        </w:rPr>
      </w:pPr>
    </w:p>
    <w:p w:rsidR="006952FB" w:rsidRDefault="00A04EC0" w:rsidP="0009211A">
      <w:pPr>
        <w:spacing w:line="274" w:lineRule="exact"/>
        <w:jc w:val="both"/>
        <w:rPr>
          <w:rFonts w:asciiTheme="majorHAnsi" w:hAnsiTheme="majorHAnsi"/>
        </w:rPr>
      </w:pPr>
      <w:r>
        <w:rPr>
          <w:rFonts w:asciiTheme="majorHAnsi" w:hAnsiTheme="majorHAnsi"/>
        </w:rPr>
        <w:t xml:space="preserve">Japan remains a strong supporter of the Asian Disaster Reduction Center and continues to host Visiting Scientists and Researchers from other member countries.  Through April 2019 a total of 111 officials from 26 member countries have attended the Visiting Researcher program.  The Government of Turkey, Government of Japan, and ADRC jointly organized the Asian Conference on Disaster Reduction which was held in Ankara, Turkey in </w:t>
      </w:r>
      <w:r w:rsidR="006952FB">
        <w:rPr>
          <w:rFonts w:asciiTheme="majorHAnsi" w:hAnsiTheme="majorHAnsi"/>
        </w:rPr>
        <w:t>November 2019.</w:t>
      </w:r>
    </w:p>
    <w:p w:rsidR="006952FB" w:rsidRDefault="006952FB" w:rsidP="0009211A">
      <w:pPr>
        <w:spacing w:line="274" w:lineRule="exact"/>
        <w:jc w:val="both"/>
        <w:rPr>
          <w:rFonts w:asciiTheme="majorHAnsi" w:hAnsiTheme="majorHAnsi"/>
        </w:rPr>
      </w:pPr>
    </w:p>
    <w:p w:rsidR="00610C20" w:rsidRPr="008C6C3E" w:rsidRDefault="0009211A" w:rsidP="008C6C3E">
      <w:pPr>
        <w:spacing w:line="274" w:lineRule="exact"/>
        <w:jc w:val="both"/>
        <w:rPr>
          <w:rFonts w:asciiTheme="majorHAnsi" w:hAnsiTheme="majorHAnsi"/>
          <w:color w:val="FF0000"/>
          <w:sz w:val="24"/>
          <w:szCs w:val="24"/>
        </w:rPr>
      </w:pPr>
      <w:r w:rsidRPr="006B25C4">
        <w:rPr>
          <w:rFonts w:asciiTheme="majorHAnsi" w:hAnsiTheme="majorHAnsi"/>
          <w:color w:val="FF0000"/>
          <w:sz w:val="24"/>
          <w:szCs w:val="24"/>
        </w:rPr>
        <w:br w:type="page"/>
      </w:r>
    </w:p>
    <w:p w:rsidR="0009211A" w:rsidRPr="008C6C3E" w:rsidRDefault="0009211A" w:rsidP="0009211A">
      <w:pPr>
        <w:pStyle w:val="ListParagraph"/>
        <w:numPr>
          <w:ilvl w:val="2"/>
          <w:numId w:val="9"/>
        </w:numPr>
        <w:spacing w:before="1"/>
        <w:ind w:left="0" w:firstLine="0"/>
        <w:rPr>
          <w:rFonts w:asciiTheme="majorHAnsi" w:hAnsiTheme="majorHAnsi"/>
          <w:b/>
          <w:sz w:val="24"/>
          <w:szCs w:val="24"/>
        </w:rPr>
      </w:pPr>
      <w:r w:rsidRPr="008C6C3E">
        <w:rPr>
          <w:rFonts w:asciiTheme="majorHAnsi" w:hAnsiTheme="majorHAnsi"/>
          <w:b/>
          <w:sz w:val="24"/>
          <w:szCs w:val="24"/>
        </w:rPr>
        <w:lastRenderedPageBreak/>
        <w:t>Lao PDR.</w:t>
      </w:r>
    </w:p>
    <w:p w:rsidR="0009211A" w:rsidRDefault="0009211A" w:rsidP="0009211A">
      <w:pPr>
        <w:tabs>
          <w:tab w:val="left" w:pos="1076"/>
        </w:tabs>
        <w:spacing w:before="1"/>
        <w:rPr>
          <w:rFonts w:asciiTheme="majorHAnsi" w:hAnsiTheme="majorHAnsi"/>
          <w:color w:val="FF0000"/>
          <w:sz w:val="24"/>
          <w:szCs w:val="24"/>
        </w:rPr>
      </w:pPr>
    </w:p>
    <w:p w:rsidR="00271586" w:rsidRPr="008621F3" w:rsidRDefault="00F86474" w:rsidP="0009211A">
      <w:pPr>
        <w:tabs>
          <w:tab w:val="left" w:pos="1076"/>
        </w:tabs>
        <w:spacing w:before="1"/>
        <w:rPr>
          <w:rFonts w:asciiTheme="majorHAnsi" w:hAnsiTheme="majorHAnsi"/>
          <w:sz w:val="24"/>
          <w:szCs w:val="24"/>
        </w:rPr>
      </w:pPr>
      <w:r>
        <w:rPr>
          <w:rFonts w:asciiTheme="majorHAnsi" w:hAnsiTheme="majorHAnsi"/>
          <w:sz w:val="24"/>
          <w:szCs w:val="24"/>
        </w:rPr>
        <w:t xml:space="preserve">In 2019, </w:t>
      </w:r>
      <w:r w:rsidR="00271586" w:rsidRPr="008621F3">
        <w:rPr>
          <w:rFonts w:asciiTheme="majorHAnsi" w:hAnsiTheme="majorHAnsi"/>
          <w:sz w:val="24"/>
          <w:szCs w:val="24"/>
        </w:rPr>
        <w:t xml:space="preserve">WIPHA, PODUL and KAJIKI directly impacted Lao PDR.  MUN and MATMO provided indirect impacts. </w:t>
      </w:r>
    </w:p>
    <w:p w:rsidR="00271586" w:rsidRPr="008621F3" w:rsidRDefault="00271586" w:rsidP="0009211A">
      <w:pPr>
        <w:tabs>
          <w:tab w:val="left" w:pos="1076"/>
        </w:tabs>
        <w:spacing w:before="1"/>
        <w:rPr>
          <w:rFonts w:asciiTheme="majorHAnsi" w:hAnsiTheme="majorHAnsi"/>
          <w:sz w:val="24"/>
          <w:szCs w:val="24"/>
        </w:rPr>
      </w:pPr>
    </w:p>
    <w:p w:rsidR="008254B9" w:rsidRPr="008621F3" w:rsidRDefault="008254B9" w:rsidP="0009211A">
      <w:pPr>
        <w:tabs>
          <w:tab w:val="left" w:pos="1076"/>
        </w:tabs>
        <w:spacing w:before="1"/>
        <w:rPr>
          <w:rFonts w:asciiTheme="majorHAnsi" w:hAnsiTheme="majorHAnsi"/>
          <w:sz w:val="24"/>
          <w:szCs w:val="24"/>
        </w:rPr>
      </w:pPr>
      <w:r w:rsidRPr="008621F3">
        <w:rPr>
          <w:rFonts w:asciiTheme="majorHAnsi" w:hAnsiTheme="majorHAnsi"/>
          <w:sz w:val="24"/>
          <w:szCs w:val="24"/>
        </w:rPr>
        <w:t>WIPHA made landfall in northern Viet Nam as a tropical storm and then weakened into a low pressure system before passing over the northern section of Lao PDR on 3-4 August 2019.  More than 100 mm of rain on these two days produced landslides and flooding over c</w:t>
      </w:r>
      <w:r w:rsidR="00F86474">
        <w:rPr>
          <w:rFonts w:asciiTheme="majorHAnsi" w:hAnsiTheme="majorHAnsi"/>
          <w:sz w:val="24"/>
          <w:szCs w:val="24"/>
        </w:rPr>
        <w:t xml:space="preserve">entral and northern </w:t>
      </w:r>
      <w:r w:rsidRPr="008621F3">
        <w:rPr>
          <w:rFonts w:asciiTheme="majorHAnsi" w:hAnsiTheme="majorHAnsi"/>
          <w:sz w:val="24"/>
          <w:szCs w:val="24"/>
        </w:rPr>
        <w:t xml:space="preserve">provinces.  PODUL </w:t>
      </w:r>
      <w:r w:rsidR="00C01399" w:rsidRPr="008621F3">
        <w:rPr>
          <w:rFonts w:asciiTheme="majorHAnsi" w:hAnsiTheme="majorHAnsi"/>
          <w:sz w:val="24"/>
          <w:szCs w:val="24"/>
        </w:rPr>
        <w:t xml:space="preserve">made landfall over central Viet Nam and passed through central Lao PDR on 30 August 2019 before dissipating over the Indo-China region.  KAJIKI formed south of Hainan Island and made landfall in central Vietnam as a weak tropical storm.  KAJIKI lingered and briefly crossed into Lao PDR on 3 September 2019 before moving back over the South China Sea and dissipating.  Together, PODUL and KAJIKI produced several days of heavy rain </w:t>
      </w:r>
      <w:r w:rsidR="00713EFC" w:rsidRPr="008621F3">
        <w:rPr>
          <w:rFonts w:asciiTheme="majorHAnsi" w:hAnsiTheme="majorHAnsi"/>
          <w:sz w:val="24"/>
          <w:szCs w:val="24"/>
        </w:rPr>
        <w:t>which caused</w:t>
      </w:r>
      <w:r w:rsidR="00C01399" w:rsidRPr="008621F3">
        <w:rPr>
          <w:rFonts w:asciiTheme="majorHAnsi" w:hAnsiTheme="majorHAnsi"/>
          <w:sz w:val="24"/>
          <w:szCs w:val="24"/>
        </w:rPr>
        <w:t xml:space="preserve"> widespread flooding across six provinces.</w:t>
      </w:r>
    </w:p>
    <w:p w:rsidR="00C01399" w:rsidRPr="008621F3" w:rsidRDefault="00C01399" w:rsidP="0009211A">
      <w:pPr>
        <w:tabs>
          <w:tab w:val="left" w:pos="1076"/>
        </w:tabs>
        <w:spacing w:before="1"/>
        <w:rPr>
          <w:rFonts w:asciiTheme="majorHAnsi" w:hAnsiTheme="majorHAnsi"/>
          <w:sz w:val="24"/>
          <w:szCs w:val="24"/>
        </w:rPr>
      </w:pPr>
    </w:p>
    <w:p w:rsidR="00271586" w:rsidRPr="008621F3" w:rsidRDefault="00271586" w:rsidP="0009211A">
      <w:pPr>
        <w:tabs>
          <w:tab w:val="left" w:pos="1076"/>
        </w:tabs>
        <w:spacing w:before="1"/>
        <w:rPr>
          <w:rFonts w:asciiTheme="majorHAnsi" w:hAnsiTheme="majorHAnsi"/>
          <w:sz w:val="24"/>
          <w:szCs w:val="24"/>
        </w:rPr>
      </w:pPr>
      <w:r w:rsidRPr="008621F3">
        <w:rPr>
          <w:rFonts w:asciiTheme="majorHAnsi" w:hAnsiTheme="majorHAnsi"/>
          <w:sz w:val="24"/>
          <w:szCs w:val="24"/>
        </w:rPr>
        <w:t xml:space="preserve">MUN </w:t>
      </w:r>
      <w:r w:rsidR="008254B9" w:rsidRPr="008621F3">
        <w:rPr>
          <w:rFonts w:asciiTheme="majorHAnsi" w:hAnsiTheme="majorHAnsi"/>
          <w:sz w:val="24"/>
          <w:szCs w:val="24"/>
        </w:rPr>
        <w:t>passed just north of Lao PDR while</w:t>
      </w:r>
      <w:r w:rsidRPr="008621F3">
        <w:rPr>
          <w:rFonts w:asciiTheme="majorHAnsi" w:hAnsiTheme="majorHAnsi"/>
          <w:sz w:val="24"/>
          <w:szCs w:val="24"/>
        </w:rPr>
        <w:t xml:space="preserve"> MATMO</w:t>
      </w:r>
      <w:r w:rsidR="008254B9" w:rsidRPr="008621F3">
        <w:rPr>
          <w:rFonts w:asciiTheme="majorHAnsi" w:hAnsiTheme="majorHAnsi"/>
          <w:sz w:val="24"/>
          <w:szCs w:val="24"/>
        </w:rPr>
        <w:t xml:space="preserve"> passed to the south.  In both cases, h</w:t>
      </w:r>
      <w:r w:rsidRPr="008621F3">
        <w:rPr>
          <w:rFonts w:asciiTheme="majorHAnsi" w:hAnsiTheme="majorHAnsi"/>
          <w:sz w:val="24"/>
          <w:szCs w:val="24"/>
        </w:rPr>
        <w:t xml:space="preserve">eavy rains </w:t>
      </w:r>
      <w:r w:rsidR="008254B9" w:rsidRPr="008621F3">
        <w:rPr>
          <w:rFonts w:asciiTheme="majorHAnsi" w:hAnsiTheme="majorHAnsi"/>
          <w:sz w:val="24"/>
          <w:szCs w:val="24"/>
        </w:rPr>
        <w:t xml:space="preserve">and strong winds produced flooding, landslides, and wind damage to homes and agriculture. </w:t>
      </w:r>
    </w:p>
    <w:p w:rsidR="00713EFC" w:rsidRPr="008621F3" w:rsidRDefault="00134B7A" w:rsidP="002C1652">
      <w:pPr>
        <w:tabs>
          <w:tab w:val="left" w:pos="1076"/>
        </w:tabs>
        <w:spacing w:before="1"/>
        <w:rPr>
          <w:rFonts w:asciiTheme="majorHAnsi" w:hAnsiTheme="majorHAnsi"/>
          <w:sz w:val="24"/>
          <w:szCs w:val="24"/>
        </w:rPr>
      </w:pPr>
      <w:r w:rsidRPr="008621F3">
        <w:rPr>
          <w:rFonts w:asciiTheme="majorHAnsi" w:hAnsiTheme="majorHAnsi"/>
          <w:sz w:val="24"/>
          <w:szCs w:val="24"/>
        </w:rPr>
        <w:t xml:space="preserve">  </w:t>
      </w:r>
    </w:p>
    <w:p w:rsidR="00713EFC" w:rsidRPr="008621F3" w:rsidRDefault="00713EFC" w:rsidP="002C1652">
      <w:pPr>
        <w:tabs>
          <w:tab w:val="left" w:pos="1076"/>
        </w:tabs>
        <w:spacing w:before="1"/>
        <w:rPr>
          <w:rFonts w:asciiTheme="majorHAnsi" w:hAnsiTheme="majorHAnsi"/>
          <w:sz w:val="24"/>
          <w:szCs w:val="24"/>
        </w:rPr>
      </w:pPr>
      <w:r w:rsidRPr="008621F3">
        <w:rPr>
          <w:rFonts w:asciiTheme="majorHAnsi" w:hAnsiTheme="majorHAnsi"/>
          <w:sz w:val="24"/>
          <w:szCs w:val="24"/>
        </w:rPr>
        <w:t>The Department of Meteorology and Hydrology of Lao PDR collaborated extensively with International Organizations and other donors to expand their observation network and build new infrastructure.  In particular, they worked with the World Bank, JICA, Mekong River Commission, and NDMI to upgrade and expand their hydro-meteorological observation networks.  Support from the World Bank and China also led the construction of a new national early warning center, TV weather studio, and a new water resources center.</w:t>
      </w:r>
    </w:p>
    <w:p w:rsidR="00713EFC" w:rsidRPr="008621F3" w:rsidRDefault="00713EFC" w:rsidP="002C1652">
      <w:pPr>
        <w:tabs>
          <w:tab w:val="left" w:pos="1076"/>
        </w:tabs>
        <w:spacing w:before="1"/>
        <w:rPr>
          <w:rFonts w:asciiTheme="majorHAnsi" w:hAnsiTheme="majorHAnsi"/>
          <w:sz w:val="24"/>
          <w:szCs w:val="24"/>
        </w:rPr>
      </w:pPr>
    </w:p>
    <w:p w:rsidR="008621F3" w:rsidRPr="008621F3" w:rsidRDefault="008621F3" w:rsidP="002C1652">
      <w:pPr>
        <w:tabs>
          <w:tab w:val="left" w:pos="1076"/>
        </w:tabs>
        <w:spacing w:before="1"/>
        <w:rPr>
          <w:rFonts w:asciiTheme="majorHAnsi" w:hAnsiTheme="majorHAnsi"/>
          <w:sz w:val="24"/>
          <w:szCs w:val="24"/>
        </w:rPr>
      </w:pPr>
      <w:r w:rsidRPr="008621F3">
        <w:rPr>
          <w:rFonts w:asciiTheme="majorHAnsi" w:hAnsiTheme="majorHAnsi"/>
          <w:sz w:val="24"/>
          <w:szCs w:val="24"/>
        </w:rPr>
        <w:t xml:space="preserve">The ongoing partnership between NDMI and DMH to install Automatic Rainfall Warning Systems (ARWS) and Flash Flood Alert System (FFAS) continues to be successful.  In 2019 the fourth of these systems were installed in the </w:t>
      </w:r>
      <w:proofErr w:type="spellStart"/>
      <w:r w:rsidRPr="008621F3">
        <w:rPr>
          <w:rFonts w:asciiTheme="majorHAnsi" w:hAnsiTheme="majorHAnsi"/>
          <w:sz w:val="24"/>
          <w:szCs w:val="24"/>
        </w:rPr>
        <w:t>Bolikhan</w:t>
      </w:r>
      <w:proofErr w:type="spellEnd"/>
      <w:r w:rsidRPr="008621F3">
        <w:rPr>
          <w:rFonts w:asciiTheme="majorHAnsi" w:hAnsiTheme="majorHAnsi"/>
          <w:sz w:val="24"/>
          <w:szCs w:val="24"/>
        </w:rPr>
        <w:t xml:space="preserve"> District and a 5</w:t>
      </w:r>
      <w:r w:rsidRPr="008621F3">
        <w:rPr>
          <w:rFonts w:asciiTheme="majorHAnsi" w:hAnsiTheme="majorHAnsi"/>
          <w:sz w:val="24"/>
          <w:szCs w:val="24"/>
          <w:vertAlign w:val="superscript"/>
        </w:rPr>
        <w:t>th</w:t>
      </w:r>
      <w:r w:rsidRPr="008621F3">
        <w:rPr>
          <w:rFonts w:asciiTheme="majorHAnsi" w:hAnsiTheme="majorHAnsi"/>
          <w:sz w:val="24"/>
          <w:szCs w:val="24"/>
        </w:rPr>
        <w:t xml:space="preserve"> is expected in 2020.</w:t>
      </w:r>
    </w:p>
    <w:p w:rsidR="008621F3" w:rsidRPr="006B25C4" w:rsidRDefault="008621F3" w:rsidP="002C1652">
      <w:pPr>
        <w:tabs>
          <w:tab w:val="left" w:pos="1076"/>
        </w:tabs>
        <w:spacing w:before="1"/>
        <w:rPr>
          <w:rFonts w:asciiTheme="majorHAnsi" w:hAnsiTheme="majorHAnsi"/>
          <w:color w:val="FF0000"/>
          <w:sz w:val="24"/>
          <w:szCs w:val="24"/>
        </w:rPr>
      </w:pPr>
    </w:p>
    <w:p w:rsidR="00134B7A" w:rsidRPr="00D35018" w:rsidRDefault="00134B7A" w:rsidP="0009211A">
      <w:pPr>
        <w:pStyle w:val="ListParagraph"/>
        <w:numPr>
          <w:ilvl w:val="2"/>
          <w:numId w:val="9"/>
        </w:numPr>
        <w:tabs>
          <w:tab w:val="left" w:pos="1076"/>
        </w:tabs>
        <w:rPr>
          <w:rFonts w:asciiTheme="majorHAnsi" w:hAnsiTheme="majorHAnsi"/>
          <w:b/>
          <w:sz w:val="24"/>
          <w:szCs w:val="24"/>
        </w:rPr>
      </w:pPr>
      <w:r w:rsidRPr="00D35018">
        <w:rPr>
          <w:rFonts w:asciiTheme="majorHAnsi" w:hAnsiTheme="majorHAnsi"/>
          <w:b/>
          <w:sz w:val="24"/>
          <w:szCs w:val="24"/>
        </w:rPr>
        <w:t>Macao, China</w:t>
      </w:r>
    </w:p>
    <w:p w:rsidR="00134B7A" w:rsidRDefault="00134B7A" w:rsidP="00134B7A">
      <w:pPr>
        <w:tabs>
          <w:tab w:val="left" w:pos="1076"/>
        </w:tabs>
        <w:rPr>
          <w:rFonts w:asciiTheme="majorHAnsi" w:hAnsiTheme="majorHAnsi"/>
          <w:color w:val="FF0000"/>
          <w:sz w:val="24"/>
          <w:szCs w:val="24"/>
        </w:rPr>
      </w:pPr>
    </w:p>
    <w:p w:rsidR="00177327" w:rsidRDefault="006B66B8" w:rsidP="00B13AE6">
      <w:pPr>
        <w:tabs>
          <w:tab w:val="left" w:pos="1076"/>
        </w:tabs>
        <w:rPr>
          <w:rFonts w:asciiTheme="majorHAnsi" w:hAnsiTheme="majorHAnsi"/>
          <w:sz w:val="24"/>
          <w:szCs w:val="24"/>
        </w:rPr>
      </w:pPr>
      <w:r w:rsidRPr="00845EBD">
        <w:rPr>
          <w:rFonts w:asciiTheme="majorHAnsi" w:hAnsiTheme="majorHAnsi"/>
          <w:sz w:val="24"/>
          <w:szCs w:val="24"/>
        </w:rPr>
        <w:t>Six tropical cyclones affected Macau, China between Oct 2018 to Sep 2019, inclu</w:t>
      </w:r>
      <w:r w:rsidR="00B13AE6">
        <w:rPr>
          <w:rFonts w:asciiTheme="majorHAnsi" w:hAnsiTheme="majorHAnsi"/>
          <w:sz w:val="24"/>
          <w:szCs w:val="24"/>
        </w:rPr>
        <w:t>ding Severe Tropical Storm YUTU, Tropical Storm MUN</w:t>
      </w:r>
      <w:r w:rsidRPr="00845EBD">
        <w:rPr>
          <w:rFonts w:asciiTheme="majorHAnsi" w:hAnsiTheme="majorHAnsi"/>
          <w:sz w:val="24"/>
          <w:szCs w:val="24"/>
        </w:rPr>
        <w:t xml:space="preserve">, </w:t>
      </w:r>
      <w:r w:rsidR="00B13AE6">
        <w:rPr>
          <w:rFonts w:asciiTheme="majorHAnsi" w:hAnsiTheme="majorHAnsi"/>
          <w:sz w:val="24"/>
          <w:szCs w:val="24"/>
        </w:rPr>
        <w:t>Tropical Storm WIPHA</w:t>
      </w:r>
      <w:r w:rsidRPr="00845EBD">
        <w:rPr>
          <w:rFonts w:asciiTheme="majorHAnsi" w:hAnsiTheme="majorHAnsi"/>
          <w:sz w:val="24"/>
          <w:szCs w:val="24"/>
        </w:rPr>
        <w:t xml:space="preserve">, </w:t>
      </w:r>
      <w:r w:rsidR="00B13AE6">
        <w:rPr>
          <w:rFonts w:asciiTheme="majorHAnsi" w:hAnsiTheme="majorHAnsi"/>
          <w:sz w:val="24"/>
          <w:szCs w:val="24"/>
        </w:rPr>
        <w:t>Severe Tropical Storm BAILU</w:t>
      </w:r>
      <w:r w:rsidRPr="00845EBD">
        <w:rPr>
          <w:rFonts w:asciiTheme="majorHAnsi" w:hAnsiTheme="majorHAnsi"/>
          <w:sz w:val="24"/>
          <w:szCs w:val="24"/>
        </w:rPr>
        <w:t xml:space="preserve">, </w:t>
      </w:r>
      <w:r w:rsidR="00B13AE6">
        <w:rPr>
          <w:rFonts w:asciiTheme="majorHAnsi" w:hAnsiTheme="majorHAnsi"/>
          <w:sz w:val="24"/>
          <w:szCs w:val="24"/>
        </w:rPr>
        <w:t>Tropical Storm PODUL</w:t>
      </w:r>
      <w:r w:rsidRPr="00845EBD">
        <w:rPr>
          <w:rFonts w:asciiTheme="majorHAnsi" w:hAnsiTheme="majorHAnsi"/>
          <w:sz w:val="24"/>
          <w:szCs w:val="24"/>
        </w:rPr>
        <w:t xml:space="preserve"> and</w:t>
      </w:r>
      <w:r w:rsidR="00B13AE6">
        <w:rPr>
          <w:rFonts w:asciiTheme="majorHAnsi" w:hAnsiTheme="majorHAnsi"/>
          <w:sz w:val="24"/>
          <w:szCs w:val="24"/>
        </w:rPr>
        <w:t xml:space="preserve"> Tropical Depression KAJIKI.  O</w:t>
      </w:r>
      <w:r w:rsidR="00E750C4">
        <w:rPr>
          <w:rFonts w:asciiTheme="majorHAnsi" w:hAnsiTheme="majorHAnsi"/>
          <w:sz w:val="24"/>
          <w:szCs w:val="24"/>
        </w:rPr>
        <w:t xml:space="preserve">f these tropical cyclones, </w:t>
      </w:r>
      <w:r w:rsidR="00B13AE6">
        <w:rPr>
          <w:rFonts w:asciiTheme="majorHAnsi" w:hAnsiTheme="majorHAnsi"/>
          <w:sz w:val="24"/>
          <w:szCs w:val="24"/>
        </w:rPr>
        <w:t xml:space="preserve">WIPHA </w:t>
      </w:r>
      <w:r w:rsidR="00E750C4">
        <w:rPr>
          <w:rFonts w:asciiTheme="majorHAnsi" w:hAnsiTheme="majorHAnsi"/>
          <w:sz w:val="24"/>
          <w:szCs w:val="24"/>
        </w:rPr>
        <w:t>caused the most impacts.</w:t>
      </w:r>
    </w:p>
    <w:p w:rsidR="00E750C4" w:rsidRDefault="00E750C4" w:rsidP="00B13AE6">
      <w:pPr>
        <w:tabs>
          <w:tab w:val="left" w:pos="1076"/>
        </w:tabs>
        <w:rPr>
          <w:rFonts w:asciiTheme="majorHAnsi" w:hAnsiTheme="majorHAnsi"/>
          <w:sz w:val="24"/>
          <w:szCs w:val="24"/>
        </w:rPr>
      </w:pPr>
    </w:p>
    <w:p w:rsidR="00E750C4" w:rsidRDefault="00E750C4" w:rsidP="00B13AE6">
      <w:pPr>
        <w:tabs>
          <w:tab w:val="left" w:pos="1076"/>
        </w:tabs>
        <w:rPr>
          <w:rFonts w:asciiTheme="majorHAnsi" w:hAnsiTheme="majorHAnsi"/>
          <w:sz w:val="24"/>
          <w:szCs w:val="24"/>
        </w:rPr>
      </w:pPr>
      <w:r>
        <w:rPr>
          <w:rFonts w:asciiTheme="majorHAnsi" w:hAnsiTheme="majorHAnsi"/>
          <w:sz w:val="24"/>
          <w:szCs w:val="24"/>
        </w:rPr>
        <w:t>WIPHA came within 270 km to Macau at its closest approach on 31 J</w:t>
      </w:r>
      <w:r w:rsidR="00AA0E96">
        <w:rPr>
          <w:rFonts w:asciiTheme="majorHAnsi" w:hAnsiTheme="majorHAnsi"/>
          <w:sz w:val="24"/>
          <w:szCs w:val="24"/>
        </w:rPr>
        <w:t>uly 2019.  High winds and periods of heavy rain produced relatively minor damage across Macau.  The most significant impact was flooding and inundation of low lying coastal areas due to a combination of the heavy rain, astronomical high tide, and storm surge.  These impacts necessitated the issuance of a Tropical Cyclone Signal No. 8 and a yellow storm surge warning.</w:t>
      </w:r>
    </w:p>
    <w:p w:rsidR="00AA0E96" w:rsidRDefault="00AA0E96" w:rsidP="00134B7A">
      <w:pPr>
        <w:pStyle w:val="ListParagraph"/>
        <w:tabs>
          <w:tab w:val="left" w:pos="0"/>
        </w:tabs>
        <w:ind w:left="0"/>
        <w:rPr>
          <w:rFonts w:asciiTheme="majorHAnsi" w:hAnsiTheme="majorHAnsi"/>
          <w:sz w:val="24"/>
          <w:szCs w:val="24"/>
        </w:rPr>
      </w:pPr>
    </w:p>
    <w:p w:rsidR="00744976" w:rsidRDefault="00AA0E96" w:rsidP="00134B7A">
      <w:pPr>
        <w:pStyle w:val="ListParagraph"/>
        <w:tabs>
          <w:tab w:val="left" w:pos="0"/>
        </w:tabs>
        <w:ind w:left="0"/>
        <w:rPr>
          <w:rFonts w:asciiTheme="majorHAnsi" w:hAnsiTheme="majorHAnsi"/>
          <w:sz w:val="24"/>
          <w:szCs w:val="24"/>
        </w:rPr>
      </w:pPr>
      <w:r>
        <w:rPr>
          <w:rFonts w:asciiTheme="majorHAnsi" w:hAnsiTheme="majorHAnsi"/>
          <w:sz w:val="24"/>
          <w:szCs w:val="24"/>
        </w:rPr>
        <w:t xml:space="preserve">Macau successfully hosted a meeting in support of “The third assessment report on the Climate Change Impacts on Tropical Cyclones in the Typhoon Committee region </w:t>
      </w:r>
      <w:r>
        <w:rPr>
          <w:rFonts w:asciiTheme="majorHAnsi" w:hAnsiTheme="majorHAnsi"/>
          <w:sz w:val="24"/>
          <w:szCs w:val="24"/>
        </w:rPr>
        <w:lastRenderedPageBreak/>
        <w:t>(TCAR3).  This initiative was part of the AOP items for WGM in 2018 and the final report was finished in September 2019.</w:t>
      </w:r>
    </w:p>
    <w:p w:rsidR="00744976" w:rsidRDefault="00744976" w:rsidP="00134B7A">
      <w:pPr>
        <w:pStyle w:val="ListParagraph"/>
        <w:tabs>
          <w:tab w:val="left" w:pos="0"/>
        </w:tabs>
        <w:ind w:left="0"/>
        <w:rPr>
          <w:rFonts w:asciiTheme="majorHAnsi" w:hAnsiTheme="majorHAnsi"/>
          <w:sz w:val="24"/>
          <w:szCs w:val="24"/>
        </w:rPr>
      </w:pPr>
    </w:p>
    <w:p w:rsidR="00744976" w:rsidRDefault="00744976" w:rsidP="00134B7A">
      <w:pPr>
        <w:pStyle w:val="ListParagraph"/>
        <w:tabs>
          <w:tab w:val="left" w:pos="0"/>
        </w:tabs>
        <w:ind w:left="0"/>
        <w:rPr>
          <w:rFonts w:asciiTheme="majorHAnsi" w:hAnsiTheme="majorHAnsi"/>
          <w:sz w:val="24"/>
          <w:szCs w:val="24"/>
        </w:rPr>
      </w:pPr>
      <w:r>
        <w:rPr>
          <w:rFonts w:asciiTheme="majorHAnsi" w:hAnsiTheme="majorHAnsi"/>
          <w:sz w:val="24"/>
          <w:szCs w:val="24"/>
        </w:rPr>
        <w:t>Macau SMG is also in the process of revising their Rainstorm Warning Signal System which will increase the number of alert levels to three.  This increase will allow the public to take the necessary precautions and safety actions.</w:t>
      </w:r>
    </w:p>
    <w:p w:rsidR="00744976" w:rsidRDefault="00744976" w:rsidP="00134B7A">
      <w:pPr>
        <w:pStyle w:val="ListParagraph"/>
        <w:tabs>
          <w:tab w:val="left" w:pos="0"/>
        </w:tabs>
        <w:ind w:left="0"/>
        <w:rPr>
          <w:rFonts w:asciiTheme="majorHAnsi" w:hAnsiTheme="majorHAnsi"/>
          <w:sz w:val="24"/>
          <w:szCs w:val="24"/>
        </w:rPr>
      </w:pPr>
    </w:p>
    <w:p w:rsidR="00273DA9" w:rsidRPr="00F14503" w:rsidRDefault="00F14503" w:rsidP="00273DA9">
      <w:pPr>
        <w:pStyle w:val="ListParagraph"/>
        <w:tabs>
          <w:tab w:val="left" w:pos="0"/>
        </w:tabs>
        <w:ind w:left="0"/>
        <w:rPr>
          <w:rFonts w:asciiTheme="majorHAnsi" w:hAnsiTheme="majorHAnsi"/>
          <w:sz w:val="24"/>
          <w:szCs w:val="24"/>
        </w:rPr>
      </w:pPr>
      <w:r>
        <w:rPr>
          <w:rFonts w:asciiTheme="majorHAnsi" w:hAnsiTheme="majorHAnsi"/>
          <w:sz w:val="24"/>
          <w:szCs w:val="24"/>
        </w:rPr>
        <w:t>Macau SMG is expanding and improving their services by upgrading hardware systems, conducting training of staff, performing emergency exercise drill with their partners, updating their website, weather app, and social media platforms, increasing education and outreach, and installing more hydro-meteorological observation systems.</w:t>
      </w:r>
    </w:p>
    <w:p w:rsidR="00273DA9" w:rsidRPr="006B25C4" w:rsidRDefault="00273DA9" w:rsidP="00273DA9">
      <w:pPr>
        <w:pStyle w:val="ListParagraph"/>
        <w:tabs>
          <w:tab w:val="left" w:pos="0"/>
        </w:tabs>
        <w:ind w:left="0"/>
        <w:rPr>
          <w:rFonts w:asciiTheme="majorHAnsi" w:hAnsiTheme="majorHAnsi"/>
          <w:color w:val="FF0000"/>
          <w:sz w:val="24"/>
          <w:szCs w:val="24"/>
        </w:rPr>
      </w:pPr>
    </w:p>
    <w:p w:rsidR="00273DA9" w:rsidRPr="007C2AA8" w:rsidRDefault="00273DA9" w:rsidP="00273DA9">
      <w:pPr>
        <w:pStyle w:val="ListParagraph"/>
        <w:numPr>
          <w:ilvl w:val="2"/>
          <w:numId w:val="9"/>
        </w:numPr>
        <w:tabs>
          <w:tab w:val="left" w:pos="0"/>
        </w:tabs>
        <w:rPr>
          <w:rFonts w:asciiTheme="majorHAnsi" w:hAnsiTheme="majorHAnsi"/>
          <w:b/>
          <w:sz w:val="24"/>
          <w:szCs w:val="24"/>
        </w:rPr>
      </w:pPr>
      <w:r w:rsidRPr="007C2AA8">
        <w:rPr>
          <w:rFonts w:asciiTheme="majorHAnsi" w:hAnsiTheme="majorHAnsi"/>
          <w:b/>
          <w:sz w:val="24"/>
          <w:szCs w:val="24"/>
        </w:rPr>
        <w:t>Malaysia</w:t>
      </w:r>
    </w:p>
    <w:p w:rsidR="00273DA9" w:rsidRPr="007C2AA8" w:rsidRDefault="00273DA9" w:rsidP="00273DA9">
      <w:pPr>
        <w:tabs>
          <w:tab w:val="left" w:pos="0"/>
        </w:tabs>
        <w:rPr>
          <w:rFonts w:asciiTheme="majorHAnsi" w:hAnsiTheme="majorHAnsi"/>
          <w:sz w:val="24"/>
          <w:szCs w:val="24"/>
        </w:rPr>
      </w:pPr>
    </w:p>
    <w:p w:rsidR="00E56AB7" w:rsidRPr="007C2AA8" w:rsidRDefault="00894C44" w:rsidP="00A76E09">
      <w:pPr>
        <w:tabs>
          <w:tab w:val="left" w:pos="1076"/>
        </w:tabs>
        <w:spacing w:before="4"/>
        <w:jc w:val="both"/>
        <w:rPr>
          <w:rFonts w:asciiTheme="majorHAnsi" w:hAnsiTheme="majorHAnsi"/>
          <w:sz w:val="24"/>
          <w:szCs w:val="24"/>
        </w:rPr>
      </w:pPr>
      <w:r w:rsidRPr="007C2AA8">
        <w:rPr>
          <w:rFonts w:asciiTheme="majorHAnsi" w:hAnsiTheme="majorHAnsi"/>
          <w:sz w:val="24"/>
          <w:szCs w:val="24"/>
        </w:rPr>
        <w:t xml:space="preserve">There were no tropical cyclones which directly impacted Malaysia during the reporting period. </w:t>
      </w:r>
    </w:p>
    <w:p w:rsidR="00894C44" w:rsidRPr="007C2AA8" w:rsidRDefault="00894C44" w:rsidP="00A76E09">
      <w:pPr>
        <w:tabs>
          <w:tab w:val="left" w:pos="1076"/>
        </w:tabs>
        <w:spacing w:before="4"/>
        <w:jc w:val="both"/>
        <w:rPr>
          <w:rFonts w:asciiTheme="majorHAnsi" w:hAnsiTheme="majorHAnsi"/>
          <w:sz w:val="24"/>
          <w:szCs w:val="24"/>
        </w:rPr>
      </w:pPr>
    </w:p>
    <w:p w:rsidR="00894C44" w:rsidRPr="007C2AA8" w:rsidRDefault="00894C44" w:rsidP="00A76E09">
      <w:pPr>
        <w:tabs>
          <w:tab w:val="left" w:pos="1076"/>
        </w:tabs>
        <w:spacing w:before="4"/>
        <w:jc w:val="both"/>
        <w:rPr>
          <w:rFonts w:asciiTheme="majorHAnsi" w:hAnsiTheme="majorHAnsi"/>
          <w:sz w:val="24"/>
          <w:szCs w:val="24"/>
        </w:rPr>
      </w:pPr>
      <w:r w:rsidRPr="007C2AA8">
        <w:rPr>
          <w:rFonts w:asciiTheme="majorHAnsi" w:hAnsiTheme="majorHAnsi"/>
          <w:sz w:val="24"/>
          <w:szCs w:val="24"/>
        </w:rPr>
        <w:t xml:space="preserve">Malaysia completed the analysis for the seven global targets from 2005-2018 in support of the Sendai Framework Monitor system.  The report showed an 11% decrease in the number of deaths and missing persons.  The report further showed increased in the number of people impacted, economic loss, and damage to critical infrastructure and services.  </w:t>
      </w:r>
    </w:p>
    <w:p w:rsidR="00894C44" w:rsidRPr="007C2AA8" w:rsidRDefault="00894C44" w:rsidP="00A76E09">
      <w:pPr>
        <w:tabs>
          <w:tab w:val="left" w:pos="1076"/>
        </w:tabs>
        <w:spacing w:before="4"/>
        <w:jc w:val="both"/>
        <w:rPr>
          <w:rFonts w:asciiTheme="majorHAnsi" w:hAnsiTheme="majorHAnsi"/>
          <w:sz w:val="24"/>
          <w:szCs w:val="24"/>
        </w:rPr>
      </w:pPr>
    </w:p>
    <w:p w:rsidR="00894C44" w:rsidRPr="007C2AA8" w:rsidRDefault="00894C44" w:rsidP="00A76E09">
      <w:pPr>
        <w:tabs>
          <w:tab w:val="left" w:pos="1076"/>
        </w:tabs>
        <w:spacing w:before="4"/>
        <w:jc w:val="both"/>
        <w:rPr>
          <w:rFonts w:asciiTheme="majorHAnsi" w:hAnsiTheme="majorHAnsi"/>
          <w:sz w:val="24"/>
          <w:szCs w:val="24"/>
        </w:rPr>
      </w:pPr>
      <w:r w:rsidRPr="007C2AA8">
        <w:rPr>
          <w:rFonts w:asciiTheme="majorHAnsi" w:hAnsiTheme="majorHAnsi"/>
          <w:sz w:val="24"/>
          <w:szCs w:val="24"/>
        </w:rPr>
        <w:t>Malaysia completed an excellent preparedness campaign during October, which has been recognized as Disaster Preparedness Month since 2016.  The National Disaster Management Agency, together with the Ministry of Energy, Science and Technology, Environment and Climate Change has started an initiative to</w:t>
      </w:r>
      <w:r w:rsidR="00A643FB" w:rsidRPr="007C2AA8">
        <w:rPr>
          <w:rFonts w:asciiTheme="majorHAnsi" w:hAnsiTheme="majorHAnsi"/>
          <w:sz w:val="24"/>
          <w:szCs w:val="24"/>
        </w:rPr>
        <w:t xml:space="preserve"> compile and share maps of geological and hydro-meteorological hazards through a centralized GIS platform.</w:t>
      </w:r>
    </w:p>
    <w:p w:rsidR="00E56AB7" w:rsidRPr="006D77C1" w:rsidRDefault="00E56AB7" w:rsidP="00E56AB7">
      <w:pPr>
        <w:tabs>
          <w:tab w:val="left" w:pos="1076"/>
        </w:tabs>
        <w:spacing w:before="4"/>
        <w:rPr>
          <w:rFonts w:asciiTheme="majorHAnsi" w:hAnsiTheme="majorHAnsi"/>
          <w:sz w:val="24"/>
          <w:szCs w:val="24"/>
        </w:rPr>
      </w:pPr>
    </w:p>
    <w:p w:rsidR="00A76E09" w:rsidRPr="006D77C1" w:rsidRDefault="00F86474" w:rsidP="0009211A">
      <w:pPr>
        <w:pStyle w:val="BodyText"/>
        <w:numPr>
          <w:ilvl w:val="2"/>
          <w:numId w:val="9"/>
        </w:numPr>
        <w:ind w:right="114"/>
        <w:jc w:val="both"/>
        <w:rPr>
          <w:rFonts w:asciiTheme="majorHAnsi" w:hAnsiTheme="majorHAnsi"/>
          <w:b/>
        </w:rPr>
      </w:pPr>
      <w:r>
        <w:rPr>
          <w:rFonts w:asciiTheme="majorHAnsi" w:hAnsiTheme="majorHAnsi"/>
          <w:b/>
        </w:rPr>
        <w:t>Phi</w:t>
      </w:r>
      <w:r w:rsidR="00E56AB7" w:rsidRPr="006D77C1">
        <w:rPr>
          <w:rFonts w:asciiTheme="majorHAnsi" w:hAnsiTheme="majorHAnsi"/>
          <w:b/>
        </w:rPr>
        <w:t>li</w:t>
      </w:r>
      <w:r>
        <w:rPr>
          <w:rFonts w:asciiTheme="majorHAnsi" w:hAnsiTheme="majorHAnsi"/>
          <w:b/>
        </w:rPr>
        <w:t>p</w:t>
      </w:r>
      <w:r w:rsidR="00E56AB7" w:rsidRPr="006D77C1">
        <w:rPr>
          <w:rFonts w:asciiTheme="majorHAnsi" w:hAnsiTheme="majorHAnsi"/>
          <w:b/>
        </w:rPr>
        <w:t xml:space="preserve">pines.  </w:t>
      </w:r>
    </w:p>
    <w:p w:rsidR="009237C3" w:rsidRPr="006D77C1" w:rsidRDefault="009237C3" w:rsidP="00A76E09">
      <w:pPr>
        <w:pStyle w:val="BodyText"/>
        <w:ind w:right="114"/>
        <w:jc w:val="both"/>
        <w:rPr>
          <w:rFonts w:asciiTheme="majorHAnsi" w:hAnsiTheme="majorHAnsi"/>
          <w:b/>
        </w:rPr>
      </w:pPr>
    </w:p>
    <w:p w:rsidR="00A76E09" w:rsidRPr="006D77C1" w:rsidRDefault="009237C3" w:rsidP="00A76E09">
      <w:pPr>
        <w:pStyle w:val="BodyText"/>
        <w:ind w:right="114"/>
        <w:jc w:val="both"/>
        <w:rPr>
          <w:rFonts w:asciiTheme="majorHAnsi" w:hAnsiTheme="majorHAnsi"/>
        </w:rPr>
      </w:pPr>
      <w:r w:rsidRPr="006D77C1">
        <w:rPr>
          <w:rFonts w:asciiTheme="majorHAnsi" w:hAnsiTheme="majorHAnsi"/>
        </w:rPr>
        <w:t>In 2019 only 15 tropical cyclones entered and developed inside the Philippine Area of Responsibility (PAR), 8 Tropical Depressions, 2 Tropical Storms, 2 Severe Tropical Storms and 3 Typhoon.  Fortunately, only three of these tropical cyclones shown made landfall and these were TD (</w:t>
      </w:r>
      <w:proofErr w:type="spellStart"/>
      <w:r w:rsidRPr="006D77C1">
        <w:rPr>
          <w:rFonts w:asciiTheme="majorHAnsi" w:hAnsiTheme="majorHAnsi"/>
        </w:rPr>
        <w:t>Amang</w:t>
      </w:r>
      <w:proofErr w:type="spellEnd"/>
      <w:r w:rsidRPr="006D77C1">
        <w:rPr>
          <w:rFonts w:asciiTheme="majorHAnsi" w:hAnsiTheme="majorHAnsi"/>
        </w:rPr>
        <w:t>), TD (</w:t>
      </w:r>
      <w:proofErr w:type="spellStart"/>
      <w:r w:rsidRPr="006D77C1">
        <w:rPr>
          <w:rFonts w:asciiTheme="majorHAnsi" w:hAnsiTheme="majorHAnsi"/>
        </w:rPr>
        <w:t>Crising</w:t>
      </w:r>
      <w:proofErr w:type="spellEnd"/>
      <w:r w:rsidRPr="006D77C1">
        <w:rPr>
          <w:rFonts w:asciiTheme="majorHAnsi" w:hAnsiTheme="majorHAnsi"/>
        </w:rPr>
        <w:t>) that weakened into a Low Pressure Area (LPA) after making a landfall and Typhoon PODUL (Jenny). Luckily, there was no significant damage during the occurrence of the tropical cyclones.  The lower number of landfalling and weaker systems was a welcome relief after a very busy 2018 season.</w:t>
      </w:r>
    </w:p>
    <w:p w:rsidR="009237C3" w:rsidRPr="006D77C1" w:rsidRDefault="009237C3" w:rsidP="00A76E09">
      <w:pPr>
        <w:pStyle w:val="BodyText"/>
        <w:ind w:right="114"/>
        <w:jc w:val="both"/>
        <w:rPr>
          <w:rFonts w:asciiTheme="majorHAnsi" w:hAnsiTheme="majorHAnsi"/>
        </w:rPr>
      </w:pPr>
    </w:p>
    <w:p w:rsidR="009237C3" w:rsidRPr="006D77C1" w:rsidRDefault="009237C3" w:rsidP="00A76E09">
      <w:pPr>
        <w:pStyle w:val="BodyText"/>
        <w:ind w:right="114"/>
        <w:jc w:val="both"/>
        <w:rPr>
          <w:rFonts w:asciiTheme="majorHAnsi" w:hAnsiTheme="majorHAnsi"/>
        </w:rPr>
      </w:pPr>
      <w:r w:rsidRPr="006D77C1">
        <w:rPr>
          <w:rFonts w:asciiTheme="majorHAnsi" w:hAnsiTheme="majorHAnsi"/>
        </w:rPr>
        <w:t xml:space="preserve">Both TD </w:t>
      </w:r>
      <w:proofErr w:type="spellStart"/>
      <w:r w:rsidRPr="006D77C1">
        <w:rPr>
          <w:rFonts w:asciiTheme="majorHAnsi" w:hAnsiTheme="majorHAnsi"/>
        </w:rPr>
        <w:t>Amang</w:t>
      </w:r>
      <w:proofErr w:type="spellEnd"/>
      <w:r w:rsidRPr="006D77C1">
        <w:rPr>
          <w:rFonts w:asciiTheme="majorHAnsi" w:hAnsiTheme="majorHAnsi"/>
        </w:rPr>
        <w:t xml:space="preserve"> and </w:t>
      </w:r>
      <w:proofErr w:type="spellStart"/>
      <w:r w:rsidRPr="006D77C1">
        <w:rPr>
          <w:rFonts w:asciiTheme="majorHAnsi" w:hAnsiTheme="majorHAnsi"/>
        </w:rPr>
        <w:t>Crising</w:t>
      </w:r>
      <w:proofErr w:type="spellEnd"/>
      <w:r w:rsidRPr="006D77C1">
        <w:rPr>
          <w:rFonts w:asciiTheme="majorHAnsi" w:hAnsiTheme="majorHAnsi"/>
        </w:rPr>
        <w:t xml:space="preserve"> produced periods of heavy showers which produced minor damage to agriculture, homes, and other infrastructure.  PODUL made landfall in the central to northern section of Luzon as a Tropical Storm.  Heavy rain produced moderate flooding in the affected areas and two deaths were reported.</w:t>
      </w:r>
    </w:p>
    <w:p w:rsidR="009237C3" w:rsidRPr="006D77C1" w:rsidRDefault="009237C3" w:rsidP="00A76E09">
      <w:pPr>
        <w:pStyle w:val="BodyText"/>
        <w:ind w:right="114"/>
        <w:jc w:val="both"/>
        <w:rPr>
          <w:rFonts w:asciiTheme="majorHAnsi" w:hAnsiTheme="majorHAnsi"/>
        </w:rPr>
      </w:pPr>
    </w:p>
    <w:p w:rsidR="00900339" w:rsidRPr="006D77C1" w:rsidRDefault="007578EC" w:rsidP="009237C3">
      <w:pPr>
        <w:pStyle w:val="BodyText"/>
        <w:ind w:right="20"/>
        <w:jc w:val="both"/>
        <w:rPr>
          <w:rFonts w:asciiTheme="majorHAnsi" w:hAnsiTheme="majorHAnsi"/>
        </w:rPr>
      </w:pPr>
      <w:r w:rsidRPr="006D77C1">
        <w:rPr>
          <w:rFonts w:asciiTheme="majorHAnsi" w:hAnsiTheme="majorHAnsi"/>
        </w:rPr>
        <w:t>The Philippines continue to expand the hydro-meteorological observation network, including 14 new Synoptic Stations, 7 new S-Band Doppler Radars, six X-Band Doppler Radars, 12 High-Frequency Coastal Doppler Radars, Automatic Weather Stations, and a Lightning Detection System to assist with SIGMETs at the airports.</w:t>
      </w:r>
    </w:p>
    <w:p w:rsidR="007578EC" w:rsidRPr="006D77C1" w:rsidRDefault="007578EC" w:rsidP="009237C3">
      <w:pPr>
        <w:pStyle w:val="BodyText"/>
        <w:ind w:right="20"/>
        <w:jc w:val="both"/>
        <w:rPr>
          <w:rFonts w:asciiTheme="majorHAnsi" w:hAnsiTheme="majorHAnsi"/>
        </w:rPr>
      </w:pPr>
    </w:p>
    <w:p w:rsidR="007578EC" w:rsidRPr="006D77C1" w:rsidRDefault="007578EC" w:rsidP="009237C3">
      <w:pPr>
        <w:pStyle w:val="BodyText"/>
        <w:ind w:right="20"/>
        <w:jc w:val="both"/>
        <w:rPr>
          <w:rFonts w:asciiTheme="majorHAnsi" w:hAnsiTheme="majorHAnsi"/>
        </w:rPr>
      </w:pPr>
      <w:r w:rsidRPr="006D77C1">
        <w:rPr>
          <w:rFonts w:asciiTheme="majorHAnsi" w:hAnsiTheme="majorHAnsi"/>
        </w:rPr>
        <w:lastRenderedPageBreak/>
        <w:t>PAGASA expanded their Tropical Cyclone Monitoring Domain which now extends from the Equator to 35N between 110E and 155E.  The vastly expanded area will help to provide early notification for potential tropical cyclone threats.</w:t>
      </w:r>
    </w:p>
    <w:p w:rsidR="007578EC" w:rsidRPr="006D77C1" w:rsidRDefault="007578EC" w:rsidP="009237C3">
      <w:pPr>
        <w:pStyle w:val="BodyText"/>
        <w:ind w:right="20"/>
        <w:jc w:val="both"/>
        <w:rPr>
          <w:rFonts w:asciiTheme="majorHAnsi" w:hAnsiTheme="majorHAnsi"/>
        </w:rPr>
      </w:pPr>
    </w:p>
    <w:p w:rsidR="007578EC" w:rsidRPr="006D77C1" w:rsidRDefault="007578EC" w:rsidP="009237C3">
      <w:pPr>
        <w:pStyle w:val="BodyText"/>
        <w:ind w:right="20"/>
        <w:jc w:val="both"/>
        <w:rPr>
          <w:rFonts w:asciiTheme="majorHAnsi" w:hAnsiTheme="majorHAnsi"/>
        </w:rPr>
      </w:pPr>
      <w:r w:rsidRPr="006D77C1">
        <w:rPr>
          <w:rFonts w:asciiTheme="majorHAnsi" w:hAnsiTheme="majorHAnsi"/>
        </w:rPr>
        <w:t>Finally, PAGASA continues to conduct numerous workshops, drills, education and outreach events, and trainings both internally and with external partners.</w:t>
      </w:r>
    </w:p>
    <w:p w:rsidR="00900339" w:rsidRPr="006D77C1" w:rsidRDefault="00900339" w:rsidP="00900339">
      <w:pPr>
        <w:pStyle w:val="BodyText"/>
        <w:rPr>
          <w:rFonts w:asciiTheme="majorHAnsi" w:hAnsiTheme="majorHAnsi"/>
        </w:rPr>
      </w:pPr>
    </w:p>
    <w:p w:rsidR="004D5A25" w:rsidRPr="006D77C1" w:rsidRDefault="000E6498" w:rsidP="004D5A25">
      <w:pPr>
        <w:pStyle w:val="BodyText"/>
        <w:numPr>
          <w:ilvl w:val="2"/>
          <w:numId w:val="9"/>
        </w:numPr>
        <w:rPr>
          <w:rFonts w:asciiTheme="majorHAnsi" w:eastAsia="Malgun Gothic" w:hAnsiTheme="majorHAnsi"/>
          <w:b/>
          <w:lang w:eastAsia="ko-KR"/>
        </w:rPr>
      </w:pPr>
      <w:r w:rsidRPr="006D77C1">
        <w:rPr>
          <w:rFonts w:asciiTheme="majorHAnsi" w:eastAsia="Malgun Gothic" w:hAnsiTheme="majorHAnsi"/>
          <w:b/>
          <w:lang w:eastAsia="ko-KR"/>
        </w:rPr>
        <w:t>Republic of Korea</w:t>
      </w:r>
      <w:r w:rsidR="004D5A25" w:rsidRPr="006D77C1">
        <w:rPr>
          <w:rFonts w:asciiTheme="majorHAnsi" w:eastAsia="Malgun Gothic" w:hAnsiTheme="majorHAnsi"/>
          <w:b/>
          <w:lang w:eastAsia="ko-KR"/>
        </w:rPr>
        <w:t xml:space="preserve"> (ROK)</w:t>
      </w:r>
      <w:r w:rsidRPr="006D77C1">
        <w:rPr>
          <w:rFonts w:asciiTheme="majorHAnsi" w:eastAsia="Malgun Gothic" w:hAnsiTheme="majorHAnsi"/>
          <w:b/>
          <w:lang w:eastAsia="ko-KR"/>
        </w:rPr>
        <w:t xml:space="preserve">.  </w:t>
      </w:r>
    </w:p>
    <w:p w:rsidR="004D5A25" w:rsidRPr="006D77C1" w:rsidRDefault="004D5A25" w:rsidP="004D5A25">
      <w:pPr>
        <w:pStyle w:val="BodyText"/>
        <w:rPr>
          <w:rFonts w:asciiTheme="majorHAnsi" w:eastAsia="Malgun Gothic" w:hAnsiTheme="majorHAnsi"/>
          <w:lang w:eastAsia="ko-KR"/>
        </w:rPr>
      </w:pPr>
    </w:p>
    <w:p w:rsidR="00303062" w:rsidRPr="006D77C1" w:rsidRDefault="001110C2" w:rsidP="004E76EE">
      <w:pPr>
        <w:pStyle w:val="BodyText"/>
        <w:rPr>
          <w:rFonts w:asciiTheme="majorHAnsi" w:eastAsia="Malgun Gothic" w:hAnsiTheme="majorHAnsi"/>
          <w:lang w:eastAsia="ko-KR"/>
        </w:rPr>
      </w:pPr>
      <w:r w:rsidRPr="006D77C1">
        <w:rPr>
          <w:rFonts w:asciiTheme="majorHAnsi" w:eastAsia="Malgun Gothic" w:hAnsiTheme="majorHAnsi"/>
          <w:lang w:eastAsia="ko-KR"/>
        </w:rPr>
        <w:t xml:space="preserve">The Republic of Korea has been experienced an active typhoon season this year. Seven tropical cyclones affected the Korean Peninsula from July to October.  These were DANAS, FRANCISCO, LEKIMA, KROSA, LINGLING, TAPAH and MITAG.   Of these 7, FRANCISCO, LINGLING and MITAG, made </w:t>
      </w:r>
      <w:r w:rsidR="004E76EE" w:rsidRPr="006D77C1">
        <w:rPr>
          <w:rFonts w:asciiTheme="majorHAnsi" w:eastAsia="Malgun Gothic" w:hAnsiTheme="majorHAnsi"/>
          <w:lang w:eastAsia="ko-KR"/>
        </w:rPr>
        <w:t>landfall.  The 7 tropical cyclones marked the highest number to impact the Korean Peninsula since 1959.   Except for LEKIMA, each of the remaining 6 caused casualties and economic losses.  LINGLING and MITAG were the most damaging.  According to statisti</w:t>
      </w:r>
      <w:r w:rsidR="00CF3C32" w:rsidRPr="006D77C1">
        <w:rPr>
          <w:rFonts w:asciiTheme="majorHAnsi" w:eastAsia="Malgun Gothic" w:hAnsiTheme="majorHAnsi"/>
          <w:lang w:eastAsia="ko-KR"/>
        </w:rPr>
        <w:t xml:space="preserve">cs provided by the Ministry of Interior and Safety, LINGLING produced over $137 million in damages (USD).  </w:t>
      </w:r>
    </w:p>
    <w:p w:rsidR="004E76EE" w:rsidRPr="006D77C1" w:rsidRDefault="004E76EE" w:rsidP="004E76EE">
      <w:pPr>
        <w:pStyle w:val="BodyText"/>
        <w:rPr>
          <w:rFonts w:asciiTheme="majorHAnsi" w:eastAsia="Malgun Gothic" w:hAnsiTheme="majorHAnsi"/>
          <w:lang w:eastAsia="ko-KR"/>
        </w:rPr>
      </w:pPr>
    </w:p>
    <w:p w:rsidR="004E76EE" w:rsidRPr="006D77C1" w:rsidRDefault="004E76EE" w:rsidP="004E76EE">
      <w:pPr>
        <w:pStyle w:val="BodyText"/>
        <w:rPr>
          <w:rFonts w:asciiTheme="majorHAnsi" w:hAnsiTheme="majorHAnsi"/>
        </w:rPr>
      </w:pPr>
    </w:p>
    <w:p w:rsidR="000E6498" w:rsidRPr="006D77C1" w:rsidRDefault="00303062" w:rsidP="00DE2B6B">
      <w:pPr>
        <w:contextualSpacing/>
        <w:jc w:val="both"/>
        <w:rPr>
          <w:rFonts w:asciiTheme="majorHAnsi" w:eastAsia="Malgun Gothic" w:hAnsiTheme="majorHAnsi"/>
          <w:sz w:val="24"/>
          <w:szCs w:val="24"/>
          <w:lang w:eastAsia="ko-KR"/>
        </w:rPr>
      </w:pPr>
      <w:r w:rsidRPr="006D77C1">
        <w:rPr>
          <w:rFonts w:asciiTheme="majorHAnsi" w:eastAsia="Malgun Gothic" w:hAnsiTheme="majorHAnsi"/>
          <w:sz w:val="24"/>
          <w:szCs w:val="24"/>
          <w:lang w:eastAsia="ko-KR"/>
        </w:rPr>
        <w:t>ROK continues to be very proactive in assisting and build</w:t>
      </w:r>
      <w:r w:rsidR="00822D99" w:rsidRPr="006D77C1">
        <w:rPr>
          <w:rFonts w:asciiTheme="majorHAnsi" w:eastAsia="Malgun Gothic" w:hAnsiTheme="majorHAnsi"/>
          <w:sz w:val="24"/>
          <w:szCs w:val="24"/>
          <w:lang w:eastAsia="ko-KR"/>
        </w:rPr>
        <w:t xml:space="preserve">ing capacity of other members.  KMA issues the seasonal outlook for the western north Pacific based on three types of models.  KMA also delivered the Typhoon Operation System (TOS) to </w:t>
      </w:r>
      <w:r w:rsidR="00CF3C32" w:rsidRPr="006D77C1">
        <w:rPr>
          <w:rFonts w:asciiTheme="majorHAnsi" w:eastAsia="Malgun Gothic" w:hAnsiTheme="majorHAnsi"/>
          <w:sz w:val="24"/>
          <w:szCs w:val="24"/>
          <w:lang w:eastAsia="ko-KR"/>
        </w:rPr>
        <w:t>the Macau Meteorological and Geophysical Bureau</w:t>
      </w:r>
      <w:r w:rsidR="00822D99" w:rsidRPr="006D77C1">
        <w:rPr>
          <w:rFonts w:asciiTheme="majorHAnsi" w:eastAsia="Malgun Gothic" w:hAnsiTheme="majorHAnsi"/>
          <w:sz w:val="24"/>
          <w:szCs w:val="24"/>
          <w:lang w:eastAsia="ko-KR"/>
        </w:rPr>
        <w:t xml:space="preserve">.  NTC and KMA </w:t>
      </w:r>
      <w:r w:rsidR="00CF3C32" w:rsidRPr="006D77C1">
        <w:rPr>
          <w:rFonts w:asciiTheme="majorHAnsi" w:eastAsia="Malgun Gothic" w:hAnsiTheme="majorHAnsi"/>
          <w:sz w:val="24"/>
          <w:szCs w:val="24"/>
          <w:lang w:eastAsia="ko-KR"/>
        </w:rPr>
        <w:t xml:space="preserve">continue to sponsor the </w:t>
      </w:r>
      <w:r w:rsidR="00822D99" w:rsidRPr="006D77C1">
        <w:rPr>
          <w:rFonts w:asciiTheme="majorHAnsi" w:eastAsia="Malgun Gothic" w:hAnsiTheme="majorHAnsi"/>
          <w:sz w:val="24"/>
          <w:szCs w:val="24"/>
          <w:lang w:eastAsia="ko-KR"/>
        </w:rPr>
        <w:t>Typhoon Research Fellowship Prog</w:t>
      </w:r>
      <w:r w:rsidR="00CF3C32" w:rsidRPr="006D77C1">
        <w:rPr>
          <w:rFonts w:asciiTheme="majorHAnsi" w:eastAsia="Malgun Gothic" w:hAnsiTheme="majorHAnsi"/>
          <w:sz w:val="24"/>
          <w:szCs w:val="24"/>
          <w:lang w:eastAsia="ko-KR"/>
        </w:rPr>
        <w:t>ram of the TRCG and co-hosted 12</w:t>
      </w:r>
      <w:r w:rsidR="00822D99" w:rsidRPr="006D77C1">
        <w:rPr>
          <w:rFonts w:asciiTheme="majorHAnsi" w:eastAsia="Malgun Gothic" w:hAnsiTheme="majorHAnsi"/>
          <w:sz w:val="24"/>
          <w:szCs w:val="24"/>
          <w:vertAlign w:val="superscript"/>
          <w:lang w:eastAsia="ko-KR"/>
        </w:rPr>
        <w:t>th</w:t>
      </w:r>
      <w:r w:rsidR="00822D99" w:rsidRPr="006D77C1">
        <w:rPr>
          <w:rFonts w:asciiTheme="majorHAnsi" w:eastAsia="Malgun Gothic" w:hAnsiTheme="majorHAnsi"/>
          <w:sz w:val="24"/>
          <w:szCs w:val="24"/>
          <w:lang w:eastAsia="ko-KR"/>
        </w:rPr>
        <w:t xml:space="preserve"> Korea-China Tropical Cyclone Workshop.  </w:t>
      </w:r>
      <w:r w:rsidR="00CF3C32" w:rsidRPr="006D77C1">
        <w:rPr>
          <w:rFonts w:asciiTheme="majorHAnsi" w:eastAsia="Malgun Gothic" w:hAnsiTheme="majorHAnsi"/>
          <w:sz w:val="24"/>
          <w:szCs w:val="24"/>
          <w:lang w:eastAsia="ko-KR"/>
        </w:rPr>
        <w:t xml:space="preserve">Improvements were made to the KMA Typhoon Intensity Classification and new analysis techniques are being developed to take advantage of the GEO-KOMPSAT-2A imagery.  </w:t>
      </w:r>
    </w:p>
    <w:p w:rsidR="00822D99" w:rsidRPr="006D77C1" w:rsidRDefault="00822D99" w:rsidP="00DE2B6B">
      <w:pPr>
        <w:jc w:val="both"/>
        <w:rPr>
          <w:rFonts w:asciiTheme="majorHAnsi" w:eastAsia="Malgun Gothic" w:hAnsiTheme="majorHAnsi"/>
          <w:sz w:val="24"/>
          <w:szCs w:val="24"/>
          <w:lang w:eastAsia="ko-KR"/>
        </w:rPr>
      </w:pPr>
    </w:p>
    <w:p w:rsidR="00822D99" w:rsidRPr="006D77C1" w:rsidRDefault="00CF3C32" w:rsidP="00DE2B6B">
      <w:pPr>
        <w:jc w:val="both"/>
        <w:rPr>
          <w:rFonts w:asciiTheme="majorHAnsi" w:eastAsia="Malgun Gothic" w:hAnsiTheme="majorHAnsi"/>
          <w:sz w:val="24"/>
          <w:szCs w:val="24"/>
          <w:lang w:eastAsia="ko-KR"/>
        </w:rPr>
      </w:pPr>
      <w:r w:rsidRPr="006D77C1">
        <w:rPr>
          <w:rFonts w:asciiTheme="majorHAnsi" w:eastAsia="Malgun Gothic" w:hAnsiTheme="majorHAnsi"/>
          <w:sz w:val="24"/>
          <w:szCs w:val="24"/>
          <w:lang w:eastAsia="ko-KR"/>
        </w:rPr>
        <w:t xml:space="preserve">KMA continually works to improve their forecast and warning services.  </w:t>
      </w:r>
      <w:r w:rsidR="00822D99" w:rsidRPr="006D77C1">
        <w:rPr>
          <w:rFonts w:asciiTheme="majorHAnsi" w:eastAsia="Malgun Gothic" w:hAnsiTheme="majorHAnsi"/>
          <w:sz w:val="24"/>
          <w:szCs w:val="24"/>
          <w:lang w:eastAsia="ko-KR"/>
        </w:rPr>
        <w:t>Korea also expanded their flood forecasting program to reflect the increasing trend in heavy rainfall due to climate change and is strengthening flood management accordingly.  One of the main projects in support of this expansion is enhancement of flood forecasting reliability with radar observed rainfall data.</w:t>
      </w:r>
      <w:r w:rsidRPr="006D77C1">
        <w:rPr>
          <w:rFonts w:asciiTheme="majorHAnsi" w:eastAsia="Malgun Gothic" w:hAnsiTheme="majorHAnsi"/>
          <w:sz w:val="24"/>
          <w:szCs w:val="24"/>
          <w:lang w:eastAsia="ko-KR"/>
        </w:rPr>
        <w:t xml:space="preserve"> </w:t>
      </w:r>
    </w:p>
    <w:p w:rsidR="005D6F99" w:rsidRPr="006D77C1" w:rsidRDefault="005D6F99" w:rsidP="004D5A25">
      <w:pPr>
        <w:jc w:val="both"/>
        <w:rPr>
          <w:rFonts w:asciiTheme="majorHAnsi" w:eastAsia="Malgun Gothic" w:hAnsiTheme="majorHAnsi"/>
          <w:sz w:val="24"/>
          <w:szCs w:val="24"/>
          <w:lang w:eastAsia="ko-KR"/>
        </w:rPr>
      </w:pPr>
    </w:p>
    <w:p w:rsidR="00DE2B6B" w:rsidRPr="006D77C1" w:rsidRDefault="005D6F99" w:rsidP="00DE2B6B">
      <w:pPr>
        <w:jc w:val="both"/>
        <w:rPr>
          <w:rFonts w:asciiTheme="majorHAnsi" w:eastAsia="Malgun Gothic" w:hAnsiTheme="majorHAnsi"/>
          <w:sz w:val="24"/>
          <w:szCs w:val="24"/>
          <w:lang w:eastAsia="ko-KR"/>
        </w:rPr>
      </w:pPr>
      <w:r w:rsidRPr="006D77C1">
        <w:rPr>
          <w:rFonts w:asciiTheme="majorHAnsi" w:eastAsia="Malgun Gothic" w:hAnsiTheme="majorHAnsi"/>
          <w:sz w:val="24"/>
          <w:szCs w:val="24"/>
          <w:lang w:eastAsia="ko-KR"/>
        </w:rPr>
        <w:t>NDMI through the WGDRR was very active in Typhoon Committee activities throughout 201</w:t>
      </w:r>
      <w:r w:rsidR="00A12959" w:rsidRPr="006D77C1">
        <w:rPr>
          <w:rFonts w:asciiTheme="majorHAnsi" w:eastAsia="Malgun Gothic" w:hAnsiTheme="majorHAnsi"/>
          <w:sz w:val="24"/>
          <w:szCs w:val="24"/>
          <w:lang w:eastAsia="ko-KR"/>
        </w:rPr>
        <w:t>9</w:t>
      </w:r>
      <w:r w:rsidRPr="006D77C1">
        <w:rPr>
          <w:rFonts w:asciiTheme="majorHAnsi" w:eastAsia="Malgun Gothic" w:hAnsiTheme="majorHAnsi"/>
          <w:sz w:val="24"/>
          <w:szCs w:val="24"/>
          <w:lang w:eastAsia="ko-KR"/>
        </w:rPr>
        <w:t xml:space="preserve">, including setting up </w:t>
      </w:r>
      <w:r w:rsidR="00A12959" w:rsidRPr="006D77C1">
        <w:rPr>
          <w:rFonts w:asciiTheme="majorHAnsi" w:eastAsia="Malgun Gothic" w:hAnsiTheme="majorHAnsi"/>
          <w:sz w:val="24"/>
          <w:szCs w:val="24"/>
          <w:lang w:eastAsia="ko-KR"/>
        </w:rPr>
        <w:t xml:space="preserve">additional </w:t>
      </w:r>
      <w:r w:rsidRPr="006D77C1">
        <w:rPr>
          <w:rFonts w:asciiTheme="majorHAnsi" w:eastAsia="Malgun Gothic" w:hAnsiTheme="majorHAnsi"/>
          <w:sz w:val="24"/>
          <w:szCs w:val="24"/>
          <w:lang w:eastAsia="ko-KR"/>
        </w:rPr>
        <w:t xml:space="preserve">early warning and alert systems in Vietnam and Lao PDR, </w:t>
      </w:r>
      <w:r w:rsidR="00A12959" w:rsidRPr="006D77C1">
        <w:rPr>
          <w:rFonts w:asciiTheme="majorHAnsi" w:eastAsia="Malgun Gothic" w:hAnsiTheme="majorHAnsi"/>
          <w:sz w:val="24"/>
          <w:szCs w:val="24"/>
          <w:lang w:eastAsia="ko-KR"/>
        </w:rPr>
        <w:t>supporting and hosting the 14</w:t>
      </w:r>
      <w:r w:rsidRPr="006D77C1">
        <w:rPr>
          <w:rFonts w:asciiTheme="majorHAnsi" w:eastAsia="Malgun Gothic" w:hAnsiTheme="majorHAnsi"/>
          <w:sz w:val="24"/>
          <w:szCs w:val="24"/>
          <w:vertAlign w:val="superscript"/>
          <w:lang w:eastAsia="ko-KR"/>
        </w:rPr>
        <w:t>th</w:t>
      </w:r>
      <w:r w:rsidRPr="006D77C1">
        <w:rPr>
          <w:rFonts w:asciiTheme="majorHAnsi" w:eastAsia="Malgun Gothic" w:hAnsiTheme="majorHAnsi"/>
          <w:sz w:val="24"/>
          <w:szCs w:val="24"/>
          <w:lang w:eastAsia="ko-KR"/>
        </w:rPr>
        <w:t xml:space="preserve"> annual WGDRR meeting, </w:t>
      </w:r>
      <w:r w:rsidR="00A12959" w:rsidRPr="006D77C1">
        <w:rPr>
          <w:rFonts w:asciiTheme="majorHAnsi" w:eastAsia="Malgun Gothic" w:hAnsiTheme="majorHAnsi"/>
          <w:sz w:val="24"/>
          <w:szCs w:val="24"/>
          <w:lang w:eastAsia="ko-KR"/>
        </w:rPr>
        <w:t xml:space="preserve">overseeing the WGDRR session of the Typhoon Committee Forum, </w:t>
      </w:r>
      <w:r w:rsidRPr="006D77C1">
        <w:rPr>
          <w:rFonts w:asciiTheme="majorHAnsi" w:eastAsia="Malgun Gothic" w:hAnsiTheme="majorHAnsi"/>
          <w:sz w:val="24"/>
          <w:szCs w:val="24"/>
          <w:lang w:eastAsia="ko-KR"/>
        </w:rPr>
        <w:t>and active sharing of information related to DRR efforts in the region.</w:t>
      </w:r>
    </w:p>
    <w:p w:rsidR="00DE2B6B" w:rsidRPr="006D77C1" w:rsidRDefault="00957F41" w:rsidP="00957F41">
      <w:pPr>
        <w:pStyle w:val="BodyText"/>
        <w:ind w:right="20"/>
        <w:jc w:val="both"/>
        <w:rPr>
          <w:rFonts w:asciiTheme="majorHAnsi" w:hAnsiTheme="majorHAnsi"/>
        </w:rPr>
      </w:pPr>
      <w:r w:rsidRPr="006D77C1">
        <w:rPr>
          <w:rFonts w:asciiTheme="majorHAnsi" w:hAnsiTheme="majorHAnsi"/>
        </w:rPr>
        <w:t xml:space="preserve"> </w:t>
      </w:r>
    </w:p>
    <w:p w:rsidR="00DE2B6B" w:rsidRPr="006D77C1" w:rsidRDefault="00DE2B6B" w:rsidP="00DE2B6B">
      <w:pPr>
        <w:pStyle w:val="BodyText"/>
        <w:numPr>
          <w:ilvl w:val="2"/>
          <w:numId w:val="9"/>
        </w:numPr>
        <w:ind w:right="20"/>
        <w:jc w:val="both"/>
        <w:rPr>
          <w:rFonts w:asciiTheme="majorHAnsi" w:hAnsiTheme="majorHAnsi"/>
          <w:b/>
        </w:rPr>
      </w:pPr>
      <w:r w:rsidRPr="006D77C1">
        <w:rPr>
          <w:rFonts w:asciiTheme="majorHAnsi" w:hAnsiTheme="majorHAnsi"/>
          <w:b/>
        </w:rPr>
        <w:t xml:space="preserve">Singapore. </w:t>
      </w:r>
    </w:p>
    <w:p w:rsidR="00DE2B6B" w:rsidRPr="006D77C1" w:rsidRDefault="00DE2B6B" w:rsidP="00DE2B6B">
      <w:pPr>
        <w:pStyle w:val="BodyText"/>
        <w:ind w:right="20"/>
        <w:jc w:val="both"/>
        <w:rPr>
          <w:rFonts w:asciiTheme="majorHAnsi" w:hAnsiTheme="majorHAnsi"/>
        </w:rPr>
      </w:pPr>
    </w:p>
    <w:p w:rsidR="00900339" w:rsidRPr="006D77C1" w:rsidRDefault="000120BF" w:rsidP="00B95694">
      <w:pPr>
        <w:pStyle w:val="BodyText"/>
        <w:spacing w:before="1"/>
        <w:jc w:val="both"/>
        <w:rPr>
          <w:rFonts w:asciiTheme="majorHAnsi" w:hAnsiTheme="majorHAnsi"/>
        </w:rPr>
      </w:pPr>
      <w:r w:rsidRPr="006D77C1">
        <w:rPr>
          <w:rFonts w:asciiTheme="majorHAnsi" w:hAnsiTheme="majorHAnsi"/>
        </w:rPr>
        <w:t>During the Pacific Typhoon season in 2019, the tropical storms in the South China Sea and the western Pacific Ocean did not have much influence on the weather in Singapore.</w:t>
      </w:r>
    </w:p>
    <w:p w:rsidR="00900339" w:rsidRPr="006D77C1" w:rsidRDefault="00900339" w:rsidP="00957F41">
      <w:pPr>
        <w:pStyle w:val="BodyText"/>
        <w:spacing w:before="1"/>
        <w:rPr>
          <w:rFonts w:asciiTheme="majorHAnsi" w:hAnsiTheme="majorHAnsi"/>
        </w:rPr>
      </w:pPr>
    </w:p>
    <w:p w:rsidR="000120BF" w:rsidRPr="006D77C1" w:rsidRDefault="000120BF" w:rsidP="00957F41">
      <w:pPr>
        <w:pStyle w:val="BodyText"/>
        <w:spacing w:before="1"/>
        <w:rPr>
          <w:rFonts w:asciiTheme="majorHAnsi" w:hAnsiTheme="majorHAnsi"/>
        </w:rPr>
      </w:pPr>
      <w:r w:rsidRPr="006D77C1">
        <w:rPr>
          <w:rFonts w:asciiTheme="majorHAnsi" w:hAnsiTheme="majorHAnsi"/>
        </w:rPr>
        <w:t xml:space="preserve">Meteorological Service Singapore expanded their already comprehensive suite of weather observing systems in 2019 to support operational needs and services. Singapore, along with other Typhoon Committee Members and Indonesia, continues to strongly support the ASEANCOF and SEA RCC-Network.  MSS, as host of the ASEAN </w:t>
      </w:r>
      <w:proofErr w:type="spellStart"/>
      <w:r w:rsidRPr="006D77C1">
        <w:rPr>
          <w:rFonts w:asciiTheme="majorHAnsi" w:hAnsiTheme="majorHAnsi"/>
        </w:rPr>
        <w:lastRenderedPageBreak/>
        <w:t>Specialised</w:t>
      </w:r>
      <w:proofErr w:type="spellEnd"/>
      <w:r w:rsidRPr="006D77C1">
        <w:rPr>
          <w:rFonts w:asciiTheme="majorHAnsi" w:hAnsiTheme="majorHAnsi"/>
        </w:rPr>
        <w:t xml:space="preserve"> Meteorological Centre (ASMC), conducts Capability-Building </w:t>
      </w:r>
      <w:proofErr w:type="spellStart"/>
      <w:r w:rsidRPr="006D77C1">
        <w:rPr>
          <w:rFonts w:asciiTheme="majorHAnsi" w:hAnsiTheme="majorHAnsi"/>
        </w:rPr>
        <w:t>Programme</w:t>
      </w:r>
      <w:proofErr w:type="spellEnd"/>
      <w:r w:rsidRPr="006D77C1">
        <w:rPr>
          <w:rFonts w:asciiTheme="majorHAnsi" w:hAnsiTheme="majorHAnsi"/>
        </w:rPr>
        <w:t xml:space="preserve"> in </w:t>
      </w:r>
      <w:proofErr w:type="spellStart"/>
      <w:r w:rsidRPr="006D77C1">
        <w:rPr>
          <w:rFonts w:asciiTheme="majorHAnsi" w:hAnsiTheme="majorHAnsi"/>
        </w:rPr>
        <w:t>Subseasonal</w:t>
      </w:r>
      <w:proofErr w:type="spellEnd"/>
      <w:r w:rsidRPr="006D77C1">
        <w:rPr>
          <w:rFonts w:asciiTheme="majorHAnsi" w:hAnsiTheme="majorHAnsi"/>
        </w:rPr>
        <w:t xml:space="preserve">-to-Seasonal Predictions for Southeast Asia (S2S-SEA). S2S-SEA is a multi-year series of workshops to equip the NMHSs with the knowledge and skills to deliver S2S predictions to end-users.  The third workshop was conducted in July 2019.  </w:t>
      </w:r>
    </w:p>
    <w:p w:rsidR="000120BF" w:rsidRPr="006D77C1" w:rsidRDefault="000120BF" w:rsidP="00957F41">
      <w:pPr>
        <w:pStyle w:val="BodyText"/>
        <w:spacing w:before="1"/>
        <w:rPr>
          <w:rFonts w:asciiTheme="majorHAnsi" w:hAnsiTheme="majorHAnsi"/>
        </w:rPr>
      </w:pPr>
    </w:p>
    <w:p w:rsidR="000120BF" w:rsidRPr="006D77C1" w:rsidRDefault="000120BF" w:rsidP="00957F41">
      <w:pPr>
        <w:pStyle w:val="BodyText"/>
        <w:spacing w:before="1"/>
        <w:rPr>
          <w:rFonts w:asciiTheme="majorHAnsi" w:hAnsiTheme="majorHAnsi"/>
        </w:rPr>
      </w:pPr>
      <w:r w:rsidRPr="006D77C1">
        <w:rPr>
          <w:rFonts w:asciiTheme="majorHAnsi" w:hAnsiTheme="majorHAnsi"/>
        </w:rPr>
        <w:t>MSS continues to work with the National Water Agency of Singapore by providing specialized forecasts to support effective national water supply management.  Sin</w:t>
      </w:r>
      <w:r w:rsidR="006D77C1" w:rsidRPr="006D77C1">
        <w:rPr>
          <w:rFonts w:asciiTheme="majorHAnsi" w:hAnsiTheme="majorHAnsi"/>
        </w:rPr>
        <w:t>gapore continuously reviews and upgrades the drainage infrastructure to alleviate flooding in urban areas.</w:t>
      </w:r>
    </w:p>
    <w:p w:rsidR="000120BF" w:rsidRPr="0029782A" w:rsidRDefault="000120BF" w:rsidP="00957F41">
      <w:pPr>
        <w:pStyle w:val="BodyText"/>
        <w:spacing w:before="1"/>
        <w:rPr>
          <w:rFonts w:asciiTheme="majorHAnsi" w:hAnsiTheme="majorHAnsi"/>
        </w:rPr>
      </w:pPr>
    </w:p>
    <w:p w:rsidR="00B95694" w:rsidRPr="0029782A" w:rsidRDefault="00B95694" w:rsidP="00B95694">
      <w:pPr>
        <w:pStyle w:val="ListParagraph"/>
        <w:numPr>
          <w:ilvl w:val="2"/>
          <w:numId w:val="9"/>
        </w:numPr>
        <w:tabs>
          <w:tab w:val="left" w:pos="1076"/>
        </w:tabs>
        <w:rPr>
          <w:rFonts w:asciiTheme="majorHAnsi" w:hAnsiTheme="majorHAnsi"/>
          <w:b/>
          <w:sz w:val="24"/>
          <w:szCs w:val="24"/>
        </w:rPr>
      </w:pPr>
      <w:r w:rsidRPr="0029782A">
        <w:rPr>
          <w:rFonts w:asciiTheme="majorHAnsi" w:hAnsiTheme="majorHAnsi"/>
          <w:b/>
          <w:sz w:val="24"/>
          <w:szCs w:val="24"/>
        </w:rPr>
        <w:t>Thailand.</w:t>
      </w:r>
    </w:p>
    <w:p w:rsidR="00436208" w:rsidRPr="0029782A" w:rsidRDefault="00436208" w:rsidP="00B95694">
      <w:pPr>
        <w:tabs>
          <w:tab w:val="left" w:pos="1076"/>
        </w:tabs>
        <w:rPr>
          <w:rFonts w:asciiTheme="majorHAnsi" w:hAnsiTheme="majorHAnsi"/>
          <w:sz w:val="24"/>
          <w:szCs w:val="24"/>
        </w:rPr>
      </w:pPr>
    </w:p>
    <w:p w:rsidR="00436208" w:rsidRPr="0029782A" w:rsidRDefault="00436208" w:rsidP="00B95694">
      <w:pPr>
        <w:tabs>
          <w:tab w:val="left" w:pos="1076"/>
        </w:tabs>
        <w:rPr>
          <w:rFonts w:asciiTheme="majorHAnsi" w:hAnsiTheme="majorHAnsi"/>
          <w:sz w:val="24"/>
          <w:szCs w:val="24"/>
        </w:rPr>
      </w:pPr>
      <w:r w:rsidRPr="0029782A">
        <w:rPr>
          <w:rFonts w:asciiTheme="majorHAnsi" w:hAnsiTheme="majorHAnsi"/>
          <w:sz w:val="24"/>
          <w:szCs w:val="24"/>
        </w:rPr>
        <w:t xml:space="preserve">Thailand experienced significant effects from 4 tropical cyclones originating over the South China Sea and the Northwest Pacific Ocean.  These were a tropical depression in mid-October 2018, Tropical Storm PABUK in early January 2019, Tropical Storm WIPHA in late July to early August 2019 and Tropical Storm PODUL in late August.  There were 4 tropical cyclones - TORAJI, USAGI, MUN and KAJIKI having some effects on rainfall in </w:t>
      </w:r>
    </w:p>
    <w:p w:rsidR="00436208" w:rsidRPr="0029782A" w:rsidRDefault="00436208" w:rsidP="00B95694">
      <w:pPr>
        <w:tabs>
          <w:tab w:val="left" w:pos="1076"/>
        </w:tabs>
        <w:rPr>
          <w:rFonts w:asciiTheme="majorHAnsi" w:hAnsiTheme="majorHAnsi"/>
          <w:sz w:val="24"/>
          <w:szCs w:val="24"/>
        </w:rPr>
      </w:pPr>
      <w:r w:rsidRPr="0029782A">
        <w:rPr>
          <w:rFonts w:asciiTheme="majorHAnsi" w:hAnsiTheme="majorHAnsi"/>
          <w:sz w:val="24"/>
          <w:szCs w:val="24"/>
        </w:rPr>
        <w:t>Thailand.</w:t>
      </w:r>
    </w:p>
    <w:p w:rsidR="00436208" w:rsidRPr="0029782A" w:rsidRDefault="00436208" w:rsidP="00B95694">
      <w:pPr>
        <w:tabs>
          <w:tab w:val="left" w:pos="1076"/>
        </w:tabs>
        <w:rPr>
          <w:rFonts w:asciiTheme="majorHAnsi" w:hAnsiTheme="majorHAnsi"/>
          <w:sz w:val="24"/>
          <w:szCs w:val="24"/>
        </w:rPr>
      </w:pPr>
    </w:p>
    <w:p w:rsidR="00436208" w:rsidRPr="0029782A" w:rsidRDefault="00436208" w:rsidP="00B95694">
      <w:pPr>
        <w:tabs>
          <w:tab w:val="left" w:pos="1076"/>
        </w:tabs>
        <w:rPr>
          <w:rFonts w:asciiTheme="majorHAnsi" w:hAnsiTheme="majorHAnsi"/>
          <w:sz w:val="24"/>
          <w:szCs w:val="24"/>
        </w:rPr>
      </w:pPr>
      <w:r w:rsidRPr="0029782A">
        <w:rPr>
          <w:rFonts w:asciiTheme="majorHAnsi" w:hAnsiTheme="majorHAnsi"/>
          <w:sz w:val="24"/>
          <w:szCs w:val="24"/>
        </w:rPr>
        <w:t xml:space="preserve">The combined impacts of PODUL and KAJIKI, as well as the severity of southwest monsoon which </w:t>
      </w:r>
      <w:r w:rsidR="00F86474">
        <w:rPr>
          <w:rFonts w:asciiTheme="majorHAnsi" w:hAnsiTheme="majorHAnsi"/>
          <w:sz w:val="24"/>
          <w:szCs w:val="24"/>
        </w:rPr>
        <w:t>prevailed over the Andaman S</w:t>
      </w:r>
      <w:r w:rsidRPr="0029782A">
        <w:rPr>
          <w:rFonts w:asciiTheme="majorHAnsi" w:hAnsiTheme="majorHAnsi"/>
          <w:sz w:val="24"/>
          <w:szCs w:val="24"/>
        </w:rPr>
        <w:t>ea 29 August through late 2019, caused widespread flash flooding and landslides in 32 out of 76 provinces throughout Thailand. 182 districts, 969 sub-districts, 7,115 villages, 5 municipalities, 11 communities, 418,549 people were affected, 3818 houses were reported partially damaged, the death toll was 34 people and 1 person was injured. (As of 18 September, 2019)</w:t>
      </w:r>
    </w:p>
    <w:p w:rsidR="00FC1BE1" w:rsidRPr="0029782A" w:rsidRDefault="00FC1BE1" w:rsidP="00FC1BE1">
      <w:pPr>
        <w:tabs>
          <w:tab w:val="left" w:pos="1076"/>
        </w:tabs>
        <w:rPr>
          <w:rFonts w:asciiTheme="majorHAnsi" w:hAnsiTheme="majorHAnsi"/>
          <w:sz w:val="24"/>
          <w:szCs w:val="24"/>
        </w:rPr>
      </w:pPr>
    </w:p>
    <w:p w:rsidR="00AA1A38" w:rsidRPr="0029782A" w:rsidRDefault="00436208" w:rsidP="00FC1BE1">
      <w:pPr>
        <w:tabs>
          <w:tab w:val="left" w:pos="1076"/>
        </w:tabs>
        <w:rPr>
          <w:rFonts w:asciiTheme="majorHAnsi" w:hAnsiTheme="majorHAnsi"/>
          <w:sz w:val="24"/>
          <w:szCs w:val="24"/>
        </w:rPr>
      </w:pPr>
      <w:r w:rsidRPr="0029782A">
        <w:rPr>
          <w:rFonts w:asciiTheme="majorHAnsi" w:hAnsiTheme="majorHAnsi"/>
          <w:sz w:val="24"/>
          <w:szCs w:val="24"/>
        </w:rPr>
        <w:t xml:space="preserve">The Thai Meteorological Department </w:t>
      </w:r>
      <w:r w:rsidR="0029782A" w:rsidRPr="0029782A">
        <w:rPr>
          <w:rFonts w:asciiTheme="majorHAnsi" w:hAnsiTheme="majorHAnsi"/>
          <w:sz w:val="24"/>
          <w:szCs w:val="24"/>
        </w:rPr>
        <w:t xml:space="preserve">(TMD) </w:t>
      </w:r>
      <w:r w:rsidRPr="0029782A">
        <w:rPr>
          <w:rFonts w:asciiTheme="majorHAnsi" w:hAnsiTheme="majorHAnsi"/>
          <w:sz w:val="24"/>
          <w:szCs w:val="24"/>
        </w:rPr>
        <w:t xml:space="preserve">hosted the </w:t>
      </w:r>
      <w:r w:rsidR="00245FA0" w:rsidRPr="0029782A">
        <w:rPr>
          <w:rFonts w:asciiTheme="majorHAnsi" w:hAnsiTheme="majorHAnsi"/>
          <w:sz w:val="24"/>
          <w:szCs w:val="24"/>
        </w:rPr>
        <w:t>fourth meeting of the Severe Weather Forecasting Demonstration Project (SWFDP) – Regional Sub-project Management Team (RSMT) for Southeast Asia (</w:t>
      </w:r>
      <w:proofErr w:type="spellStart"/>
      <w:r w:rsidR="00245FA0" w:rsidRPr="0029782A">
        <w:rPr>
          <w:rFonts w:asciiTheme="majorHAnsi" w:hAnsiTheme="majorHAnsi"/>
          <w:sz w:val="24"/>
          <w:szCs w:val="24"/>
        </w:rPr>
        <w:t>SeA</w:t>
      </w:r>
      <w:proofErr w:type="spellEnd"/>
      <w:r w:rsidR="00245FA0" w:rsidRPr="0029782A">
        <w:rPr>
          <w:rFonts w:asciiTheme="majorHAnsi" w:hAnsiTheme="majorHAnsi"/>
          <w:sz w:val="24"/>
          <w:szCs w:val="24"/>
        </w:rPr>
        <w:t xml:space="preserve">) in September 2019.  TMD collaborated with WMO to conduct the National Workshop on Strengthening Multi-Hazard Early Warning Systems.   TMD also hosted a Consultation Workshop as a part of the SSOP-II Project.  </w:t>
      </w:r>
    </w:p>
    <w:p w:rsidR="00245FA0" w:rsidRPr="0029782A" w:rsidRDefault="00245FA0" w:rsidP="00FC1BE1">
      <w:pPr>
        <w:tabs>
          <w:tab w:val="left" w:pos="1076"/>
        </w:tabs>
        <w:rPr>
          <w:rFonts w:asciiTheme="majorHAnsi" w:hAnsiTheme="majorHAnsi"/>
          <w:sz w:val="24"/>
          <w:szCs w:val="24"/>
        </w:rPr>
      </w:pPr>
    </w:p>
    <w:p w:rsidR="00245FA0" w:rsidRPr="0029782A" w:rsidRDefault="00245FA0" w:rsidP="00FC1BE1">
      <w:pPr>
        <w:tabs>
          <w:tab w:val="left" w:pos="1076"/>
        </w:tabs>
        <w:rPr>
          <w:rFonts w:asciiTheme="majorHAnsi" w:hAnsiTheme="majorHAnsi"/>
          <w:sz w:val="24"/>
          <w:szCs w:val="24"/>
        </w:rPr>
      </w:pPr>
      <w:r w:rsidRPr="0029782A">
        <w:rPr>
          <w:rFonts w:asciiTheme="majorHAnsi" w:hAnsiTheme="majorHAnsi"/>
          <w:sz w:val="24"/>
          <w:szCs w:val="24"/>
        </w:rPr>
        <w:t xml:space="preserve">TMD developed an innovative display which overlays radar imagery onto FY-4AGE and Himarawi-8 satellite imagery for distribution on their website.  </w:t>
      </w:r>
      <w:r w:rsidR="0029782A" w:rsidRPr="0029782A">
        <w:rPr>
          <w:rFonts w:asciiTheme="majorHAnsi" w:hAnsiTheme="majorHAnsi"/>
          <w:sz w:val="24"/>
          <w:szCs w:val="24"/>
        </w:rPr>
        <w:t>TMD applied the Precipitation Estimation from Remotely Sensed Imagery using an Artificial Neural Networks Cloud Classification System (PERSIANN-CCS) technique to estimate the rainfall from Himawari-8 satellites images.  This technique improved the rainfall estimates in areas without adequate weather observations.</w:t>
      </w:r>
    </w:p>
    <w:p w:rsidR="00C2563C" w:rsidRPr="006B25C4" w:rsidRDefault="00C2563C" w:rsidP="002828F4">
      <w:pPr>
        <w:tabs>
          <w:tab w:val="left" w:pos="1076"/>
        </w:tabs>
        <w:rPr>
          <w:rFonts w:asciiTheme="majorHAnsi" w:hAnsiTheme="majorHAnsi"/>
          <w:color w:val="FF0000"/>
          <w:sz w:val="24"/>
          <w:szCs w:val="24"/>
        </w:rPr>
      </w:pPr>
    </w:p>
    <w:p w:rsidR="00B95694" w:rsidRPr="005D4469" w:rsidRDefault="00B95694" w:rsidP="002828F4">
      <w:pPr>
        <w:pStyle w:val="ListParagraph"/>
        <w:numPr>
          <w:ilvl w:val="2"/>
          <w:numId w:val="9"/>
        </w:numPr>
        <w:spacing w:before="90"/>
        <w:ind w:left="0" w:right="20" w:firstLine="0"/>
        <w:rPr>
          <w:rFonts w:asciiTheme="majorHAnsi" w:hAnsiTheme="majorHAnsi"/>
          <w:b/>
          <w:sz w:val="24"/>
          <w:szCs w:val="24"/>
        </w:rPr>
      </w:pPr>
      <w:r w:rsidRPr="005D4469">
        <w:rPr>
          <w:rFonts w:asciiTheme="majorHAnsi" w:hAnsiTheme="majorHAnsi"/>
          <w:b/>
          <w:sz w:val="24"/>
          <w:szCs w:val="24"/>
        </w:rPr>
        <w:t>United States of America.</w:t>
      </w:r>
    </w:p>
    <w:p w:rsidR="00B004D4" w:rsidRPr="005D4469" w:rsidRDefault="00B004D4" w:rsidP="00B37CF3">
      <w:pPr>
        <w:pStyle w:val="ListParagraph"/>
        <w:tabs>
          <w:tab w:val="left" w:pos="1076"/>
        </w:tabs>
        <w:ind w:left="0" w:right="0"/>
        <w:rPr>
          <w:rFonts w:asciiTheme="majorHAnsi" w:hAnsiTheme="majorHAnsi"/>
          <w:sz w:val="24"/>
          <w:szCs w:val="24"/>
        </w:rPr>
      </w:pPr>
    </w:p>
    <w:p w:rsidR="00B004D4" w:rsidRPr="005D4469" w:rsidRDefault="00B004D4" w:rsidP="00B37CF3">
      <w:pPr>
        <w:pStyle w:val="ListParagraph"/>
        <w:tabs>
          <w:tab w:val="left" w:pos="1076"/>
        </w:tabs>
        <w:ind w:left="0" w:right="0"/>
        <w:rPr>
          <w:rFonts w:asciiTheme="majorHAnsi" w:hAnsiTheme="majorHAnsi"/>
          <w:sz w:val="24"/>
          <w:szCs w:val="24"/>
        </w:rPr>
      </w:pPr>
      <w:r w:rsidRPr="005D4469">
        <w:rPr>
          <w:rFonts w:asciiTheme="majorHAnsi" w:hAnsiTheme="majorHAnsi"/>
          <w:sz w:val="24"/>
          <w:szCs w:val="24"/>
        </w:rPr>
        <w:t xml:space="preserve">In the Western North Pacific (130E to 180, north of the equator), a near normal total of nineteen tropical cyclones entered or formed in the WFO Guam AOR from 1 October 2018 until 15 October 2019. This is quite a bit less than the 30 that formed within the AOR during the same period from the previous year.  </w:t>
      </w:r>
      <w:r w:rsidR="00F86474">
        <w:rPr>
          <w:rFonts w:asciiTheme="majorHAnsi" w:hAnsiTheme="majorHAnsi"/>
          <w:sz w:val="24"/>
          <w:szCs w:val="24"/>
        </w:rPr>
        <w:t>There were</w:t>
      </w:r>
      <w:r w:rsidRPr="005D4469">
        <w:rPr>
          <w:rFonts w:asciiTheme="majorHAnsi" w:hAnsiTheme="majorHAnsi"/>
          <w:sz w:val="24"/>
          <w:szCs w:val="24"/>
        </w:rPr>
        <w:t xml:space="preserve"> four Super Typhoons (winds greater than or equal to 130 knots, 150 mph) during this period: YUTU, WUTIP, LEKIMA and HAGABIS.  YUTU was the strongest, a catastrophic Category 5 </w:t>
      </w:r>
      <w:r w:rsidR="00F86474">
        <w:rPr>
          <w:rFonts w:asciiTheme="majorHAnsi" w:hAnsiTheme="majorHAnsi"/>
          <w:sz w:val="24"/>
          <w:szCs w:val="24"/>
        </w:rPr>
        <w:t xml:space="preserve">(Saffir-Simpson Scale) </w:t>
      </w:r>
      <w:r w:rsidRPr="005D4469">
        <w:rPr>
          <w:rFonts w:asciiTheme="majorHAnsi" w:hAnsiTheme="majorHAnsi"/>
          <w:sz w:val="24"/>
          <w:szCs w:val="24"/>
        </w:rPr>
        <w:t xml:space="preserve">tropical cyclone, and had a devastating effect on the infrastructure of the islands of Tinian </w:t>
      </w:r>
      <w:r w:rsidRPr="005D4469">
        <w:rPr>
          <w:rFonts w:asciiTheme="majorHAnsi" w:hAnsiTheme="majorHAnsi"/>
          <w:sz w:val="24"/>
          <w:szCs w:val="24"/>
        </w:rPr>
        <w:lastRenderedPageBreak/>
        <w:t>and Saipan in the CNMI (but with only one fatality). This typhoon was one of the strongest tropical cyclones to make a direct hit on one of the populated islands in Micronesia in the past 50 years. Another tropical cyclone of interest was Super Typhoon W</w:t>
      </w:r>
      <w:r w:rsidR="00F86474">
        <w:rPr>
          <w:rFonts w:asciiTheme="majorHAnsi" w:hAnsiTheme="majorHAnsi"/>
          <w:sz w:val="24"/>
          <w:szCs w:val="24"/>
        </w:rPr>
        <w:t>UTIP</w:t>
      </w:r>
      <w:r w:rsidRPr="005D4469">
        <w:rPr>
          <w:rFonts w:asciiTheme="majorHAnsi" w:hAnsiTheme="majorHAnsi"/>
          <w:sz w:val="24"/>
          <w:szCs w:val="24"/>
        </w:rPr>
        <w:t xml:space="preserve"> (02W) which at 140 knots (160 mph) may have been the strongest tropical cyclone on record for the northern hemisphere for the month of February. After W</w:t>
      </w:r>
      <w:r w:rsidR="00F86474">
        <w:rPr>
          <w:rFonts w:asciiTheme="majorHAnsi" w:hAnsiTheme="majorHAnsi"/>
          <w:sz w:val="24"/>
          <w:szCs w:val="24"/>
        </w:rPr>
        <w:t>UTIP</w:t>
      </w:r>
      <w:r w:rsidRPr="005D4469">
        <w:rPr>
          <w:rFonts w:asciiTheme="majorHAnsi" w:hAnsiTheme="majorHAnsi"/>
          <w:sz w:val="24"/>
          <w:szCs w:val="24"/>
        </w:rPr>
        <w:t>, tropical cyclone activity waned until later in the season in August and September.</w:t>
      </w:r>
    </w:p>
    <w:p w:rsidR="00B004D4" w:rsidRPr="005D4469" w:rsidRDefault="00B004D4" w:rsidP="00B37CF3">
      <w:pPr>
        <w:pStyle w:val="ListParagraph"/>
        <w:tabs>
          <w:tab w:val="left" w:pos="1076"/>
        </w:tabs>
        <w:ind w:left="0" w:right="0"/>
        <w:rPr>
          <w:rFonts w:asciiTheme="majorHAnsi" w:hAnsiTheme="majorHAnsi"/>
          <w:sz w:val="24"/>
          <w:szCs w:val="24"/>
        </w:rPr>
      </w:pPr>
    </w:p>
    <w:p w:rsidR="00B004D4" w:rsidRPr="005D4469" w:rsidRDefault="00B004D4" w:rsidP="00B37CF3">
      <w:pPr>
        <w:pStyle w:val="ListParagraph"/>
        <w:tabs>
          <w:tab w:val="left" w:pos="1076"/>
        </w:tabs>
        <w:ind w:left="0" w:right="0"/>
        <w:rPr>
          <w:rFonts w:asciiTheme="majorHAnsi" w:hAnsiTheme="majorHAnsi"/>
          <w:sz w:val="24"/>
          <w:szCs w:val="24"/>
        </w:rPr>
      </w:pPr>
      <w:r w:rsidRPr="005D4469">
        <w:rPr>
          <w:rFonts w:asciiTheme="majorHAnsi" w:hAnsiTheme="majorHAnsi"/>
          <w:sz w:val="24"/>
          <w:szCs w:val="24"/>
        </w:rPr>
        <w:t>Five tropical cyclones entered into, or were generated in, the central North Pacific during the period from January 1 through October 28, 2019. These were: Hurricane ERICK, Tropical Storm FLOSSIE, Tropical Storm AKONI, Tropical Depression KIKO, and Tropical Storm EMA.  ERICK brought elevated surf to east facing shores of the Hawaiian Islands, along with moisture that contributed to heavy rainfall which resulted in damaging flash flooding to Kauai on August 4th.  FLOSSIE brought elevated surf to the east facing shores as well as locally heavy rainfall to portions of west Maui, and central Oahu in early August 2019.</w:t>
      </w:r>
    </w:p>
    <w:p w:rsidR="009A1098" w:rsidRPr="005D4469" w:rsidRDefault="009A1098" w:rsidP="00B37CF3">
      <w:pPr>
        <w:tabs>
          <w:tab w:val="left" w:pos="1076"/>
        </w:tabs>
        <w:rPr>
          <w:rFonts w:asciiTheme="majorHAnsi" w:eastAsia="Cambria" w:hAnsiTheme="majorHAnsi" w:cs="Cambria"/>
          <w:sz w:val="24"/>
          <w:szCs w:val="24"/>
        </w:rPr>
      </w:pPr>
    </w:p>
    <w:p w:rsidR="00A74A04" w:rsidRPr="005D4469" w:rsidRDefault="00C36A29" w:rsidP="00A74A04">
      <w:pPr>
        <w:tabs>
          <w:tab w:val="left" w:pos="1076"/>
        </w:tabs>
        <w:jc w:val="both"/>
        <w:rPr>
          <w:rFonts w:asciiTheme="majorHAnsi" w:eastAsia="Cambria" w:hAnsiTheme="majorHAnsi" w:cs="Cambria"/>
          <w:sz w:val="24"/>
          <w:szCs w:val="24"/>
        </w:rPr>
      </w:pPr>
      <w:r w:rsidRPr="005D4469">
        <w:rPr>
          <w:rFonts w:asciiTheme="majorHAnsi" w:eastAsia="Cambria" w:hAnsiTheme="majorHAnsi" w:cs="Cambria"/>
          <w:sz w:val="24"/>
          <w:szCs w:val="24"/>
        </w:rPr>
        <w:t xml:space="preserve">The US continues to expand their Weather Ready Nation initiative by recruiting new WRN Ambassadors </w:t>
      </w:r>
      <w:r w:rsidR="00B004D4" w:rsidRPr="005D4469">
        <w:rPr>
          <w:rFonts w:asciiTheme="majorHAnsi" w:eastAsia="Cambria" w:hAnsiTheme="majorHAnsi" w:cs="Cambria"/>
          <w:sz w:val="24"/>
          <w:szCs w:val="24"/>
        </w:rPr>
        <w:t>who</w:t>
      </w:r>
      <w:r w:rsidRPr="005D4469">
        <w:rPr>
          <w:rFonts w:asciiTheme="majorHAnsi" w:eastAsia="Cambria" w:hAnsiTheme="majorHAnsi" w:cs="Cambria"/>
          <w:sz w:val="24"/>
          <w:szCs w:val="24"/>
        </w:rPr>
        <w:t xml:space="preserve"> act as message amplifiers for NWS products and services, watches, warnings, and advisories.</w:t>
      </w:r>
    </w:p>
    <w:p w:rsidR="00B004D4" w:rsidRPr="005D4469" w:rsidRDefault="00B004D4" w:rsidP="00A74A04">
      <w:pPr>
        <w:tabs>
          <w:tab w:val="left" w:pos="1076"/>
        </w:tabs>
        <w:jc w:val="both"/>
        <w:rPr>
          <w:rFonts w:asciiTheme="majorHAnsi" w:eastAsia="Cambria" w:hAnsiTheme="majorHAnsi" w:cs="Cambria"/>
          <w:sz w:val="24"/>
          <w:szCs w:val="24"/>
        </w:rPr>
      </w:pPr>
    </w:p>
    <w:p w:rsidR="00B004D4" w:rsidRDefault="00B004D4" w:rsidP="00A74A04">
      <w:pPr>
        <w:tabs>
          <w:tab w:val="left" w:pos="1076"/>
        </w:tabs>
        <w:jc w:val="both"/>
        <w:rPr>
          <w:rFonts w:asciiTheme="majorHAnsi" w:eastAsia="Cambria" w:hAnsiTheme="majorHAnsi" w:cs="Cambria"/>
          <w:sz w:val="24"/>
          <w:szCs w:val="24"/>
        </w:rPr>
      </w:pPr>
      <w:r w:rsidRPr="005D4469">
        <w:rPr>
          <w:rFonts w:asciiTheme="majorHAnsi" w:eastAsia="Cambria" w:hAnsiTheme="majorHAnsi" w:cs="Cambria"/>
          <w:sz w:val="24"/>
          <w:szCs w:val="24"/>
        </w:rPr>
        <w:t xml:space="preserve">NWS offices in Guam and Honolulu conduct annual tropical cyclone exercises and a variety of education and outreach activities </w:t>
      </w:r>
      <w:r w:rsidR="005D4469" w:rsidRPr="005D4469">
        <w:rPr>
          <w:rFonts w:asciiTheme="majorHAnsi" w:eastAsia="Cambria" w:hAnsiTheme="majorHAnsi" w:cs="Cambria"/>
          <w:sz w:val="24"/>
          <w:szCs w:val="24"/>
        </w:rPr>
        <w:t>in support of tropical cyclone awareness.  The Pacific International Training Desk also continues to provide basic and advanced forecaster training which includes tropical cyclones and tsunamis.</w:t>
      </w:r>
    </w:p>
    <w:p w:rsidR="00C2263F" w:rsidRDefault="00C2263F" w:rsidP="00A74A04">
      <w:pPr>
        <w:tabs>
          <w:tab w:val="left" w:pos="1076"/>
        </w:tabs>
        <w:jc w:val="both"/>
        <w:rPr>
          <w:rFonts w:asciiTheme="majorHAnsi" w:eastAsia="Cambria" w:hAnsiTheme="majorHAnsi" w:cs="Cambria"/>
          <w:sz w:val="24"/>
          <w:szCs w:val="24"/>
        </w:rPr>
      </w:pPr>
    </w:p>
    <w:p w:rsidR="00C2263F" w:rsidRPr="005D4469" w:rsidRDefault="00C2263F" w:rsidP="00A74A04">
      <w:pPr>
        <w:tabs>
          <w:tab w:val="left" w:pos="1076"/>
        </w:tabs>
        <w:jc w:val="both"/>
        <w:rPr>
          <w:rFonts w:asciiTheme="majorHAnsi" w:eastAsia="Cambria" w:hAnsiTheme="majorHAnsi" w:cs="Cambria"/>
          <w:sz w:val="24"/>
          <w:szCs w:val="24"/>
        </w:rPr>
      </w:pPr>
      <w:r>
        <w:rPr>
          <w:rFonts w:asciiTheme="majorHAnsi" w:eastAsia="Cambria" w:hAnsiTheme="majorHAnsi" w:cs="Cambria"/>
          <w:sz w:val="24"/>
          <w:szCs w:val="24"/>
        </w:rPr>
        <w:t>Finally, the SSOP-II Project, managed by Tom Evans, was successfully completed and the final report will be presented at TC-53.</w:t>
      </w:r>
    </w:p>
    <w:p w:rsidR="00A74A04" w:rsidRPr="006B25C4" w:rsidRDefault="00A74A04" w:rsidP="00A74A04">
      <w:pPr>
        <w:tabs>
          <w:tab w:val="left" w:pos="1076"/>
        </w:tabs>
        <w:jc w:val="both"/>
        <w:rPr>
          <w:rFonts w:asciiTheme="majorHAnsi" w:eastAsia="Cambria" w:hAnsiTheme="majorHAnsi" w:cs="Cambria"/>
          <w:color w:val="FF0000"/>
          <w:sz w:val="24"/>
          <w:szCs w:val="24"/>
        </w:rPr>
      </w:pPr>
    </w:p>
    <w:p w:rsidR="00A74A04" w:rsidRPr="00EE18C1" w:rsidRDefault="00A74A04" w:rsidP="00A74A04">
      <w:pPr>
        <w:pStyle w:val="ListParagraph"/>
        <w:numPr>
          <w:ilvl w:val="2"/>
          <w:numId w:val="9"/>
        </w:numPr>
        <w:tabs>
          <w:tab w:val="left" w:pos="1076"/>
        </w:tabs>
        <w:rPr>
          <w:rFonts w:asciiTheme="majorHAnsi" w:hAnsiTheme="majorHAnsi"/>
          <w:b/>
          <w:sz w:val="24"/>
          <w:szCs w:val="24"/>
        </w:rPr>
      </w:pPr>
      <w:r w:rsidRPr="00EE18C1">
        <w:rPr>
          <w:rFonts w:asciiTheme="majorHAnsi" w:hAnsiTheme="majorHAnsi"/>
          <w:b/>
          <w:sz w:val="24"/>
          <w:szCs w:val="24"/>
        </w:rPr>
        <w:t>Vietnam.</w:t>
      </w:r>
    </w:p>
    <w:p w:rsidR="00A74A04" w:rsidRPr="00EE18C1" w:rsidRDefault="00A74A04" w:rsidP="00A74A04">
      <w:pPr>
        <w:tabs>
          <w:tab w:val="left" w:pos="1076"/>
        </w:tabs>
        <w:rPr>
          <w:rFonts w:asciiTheme="majorHAnsi" w:hAnsiTheme="majorHAnsi"/>
          <w:sz w:val="24"/>
          <w:szCs w:val="24"/>
        </w:rPr>
      </w:pPr>
    </w:p>
    <w:p w:rsidR="00426249" w:rsidRPr="00EE18C1" w:rsidRDefault="00426249" w:rsidP="00A74A04">
      <w:pPr>
        <w:tabs>
          <w:tab w:val="left" w:pos="1076"/>
        </w:tabs>
        <w:rPr>
          <w:rFonts w:asciiTheme="majorHAnsi" w:hAnsiTheme="majorHAnsi"/>
          <w:sz w:val="24"/>
          <w:szCs w:val="24"/>
        </w:rPr>
      </w:pPr>
      <w:r w:rsidRPr="00EE18C1">
        <w:rPr>
          <w:rFonts w:asciiTheme="majorHAnsi" w:hAnsiTheme="majorHAnsi"/>
          <w:sz w:val="24"/>
          <w:szCs w:val="24"/>
        </w:rPr>
        <w:t>In 201</w:t>
      </w:r>
      <w:r w:rsidR="00255662" w:rsidRPr="00EE18C1">
        <w:rPr>
          <w:rFonts w:asciiTheme="majorHAnsi" w:hAnsiTheme="majorHAnsi"/>
          <w:sz w:val="24"/>
          <w:szCs w:val="24"/>
        </w:rPr>
        <w:t>9</w:t>
      </w:r>
      <w:r w:rsidRPr="00EE18C1">
        <w:rPr>
          <w:rFonts w:asciiTheme="majorHAnsi" w:hAnsiTheme="majorHAnsi"/>
          <w:sz w:val="24"/>
          <w:szCs w:val="24"/>
        </w:rPr>
        <w:t xml:space="preserve">, there were </w:t>
      </w:r>
      <w:r w:rsidR="00255662" w:rsidRPr="00EE18C1">
        <w:rPr>
          <w:rFonts w:asciiTheme="majorHAnsi" w:hAnsiTheme="majorHAnsi"/>
          <w:sz w:val="24"/>
          <w:szCs w:val="24"/>
        </w:rPr>
        <w:t>4</w:t>
      </w:r>
      <w:r w:rsidRPr="00EE18C1">
        <w:rPr>
          <w:rFonts w:asciiTheme="majorHAnsi" w:hAnsiTheme="majorHAnsi"/>
          <w:sz w:val="24"/>
          <w:szCs w:val="24"/>
        </w:rPr>
        <w:t xml:space="preserve"> tropical cyclones </w:t>
      </w:r>
      <w:r w:rsidR="00255662" w:rsidRPr="00EE18C1">
        <w:rPr>
          <w:rFonts w:asciiTheme="majorHAnsi" w:hAnsiTheme="majorHAnsi"/>
          <w:sz w:val="24"/>
          <w:szCs w:val="24"/>
        </w:rPr>
        <w:t>which impacted Viet Nam.  These were MUN, WIPHA,  PODUL, and KAJIKI.  MUN impacted northern Viet Nam with widespread rainfall amounts between 100-150 mm.  A few locations noted much higher totals in the 200-400 mm range. WIPHA also impacted northern Viet Nam with extreme rainfall and strong winds. PODUL made landfall in central Viet Nam and rapidly weakened into a tropical depression before moving over Lao PDR.  PODUL produced moderate to heavy rainfall and strong winds to the region.  Finally, KAJIKI brought strong winds along with heavy and extreme rainfall to central Viet Nam.</w:t>
      </w:r>
    </w:p>
    <w:p w:rsidR="00255662" w:rsidRPr="00EE18C1" w:rsidRDefault="00255662" w:rsidP="00A74A04">
      <w:pPr>
        <w:tabs>
          <w:tab w:val="left" w:pos="1076"/>
        </w:tabs>
        <w:rPr>
          <w:rFonts w:asciiTheme="majorHAnsi" w:hAnsiTheme="majorHAnsi"/>
          <w:sz w:val="24"/>
          <w:szCs w:val="24"/>
        </w:rPr>
      </w:pPr>
    </w:p>
    <w:p w:rsidR="00704869" w:rsidRPr="00EE18C1" w:rsidRDefault="00704869" w:rsidP="00A74A04">
      <w:pPr>
        <w:tabs>
          <w:tab w:val="left" w:pos="1076"/>
        </w:tabs>
        <w:rPr>
          <w:rFonts w:asciiTheme="majorHAnsi" w:hAnsiTheme="majorHAnsi"/>
          <w:sz w:val="24"/>
          <w:szCs w:val="24"/>
        </w:rPr>
      </w:pPr>
      <w:r w:rsidRPr="00EE18C1">
        <w:rPr>
          <w:rFonts w:asciiTheme="majorHAnsi" w:hAnsiTheme="majorHAnsi"/>
          <w:sz w:val="24"/>
          <w:szCs w:val="24"/>
        </w:rPr>
        <w:t>Despite widespread flash flooding and river flooding in Viet Nam in 2018, the overall damages caused by natural disasters in Viet Nam was reduced compared to the average in recent years.  The Prime Minister and Chairman of Central Committee for Natural Disaster Prevention and Control was very proactive in disaster management activities.</w:t>
      </w:r>
    </w:p>
    <w:p w:rsidR="00704869" w:rsidRPr="00EE18C1" w:rsidRDefault="00704869" w:rsidP="00A74A04">
      <w:pPr>
        <w:tabs>
          <w:tab w:val="left" w:pos="1076"/>
        </w:tabs>
        <w:rPr>
          <w:rFonts w:asciiTheme="majorHAnsi" w:hAnsiTheme="majorHAnsi"/>
          <w:sz w:val="24"/>
          <w:szCs w:val="24"/>
        </w:rPr>
      </w:pPr>
    </w:p>
    <w:p w:rsidR="006F3DD1" w:rsidRPr="00EE18C1" w:rsidRDefault="00651929" w:rsidP="00E27C14">
      <w:pPr>
        <w:rPr>
          <w:rFonts w:asciiTheme="majorHAnsi" w:hAnsiTheme="majorHAnsi"/>
          <w:sz w:val="24"/>
          <w:szCs w:val="24"/>
        </w:rPr>
      </w:pPr>
      <w:r w:rsidRPr="00EE18C1">
        <w:rPr>
          <w:rFonts w:asciiTheme="majorHAnsi" w:hAnsiTheme="majorHAnsi"/>
          <w:sz w:val="24"/>
          <w:szCs w:val="24"/>
        </w:rPr>
        <w:t xml:space="preserve">Vietnam continues the provide leadership in the Typhoon Committee region by </w:t>
      </w:r>
      <w:r w:rsidR="000365EA" w:rsidRPr="00EE18C1">
        <w:rPr>
          <w:rFonts w:asciiTheme="majorHAnsi" w:hAnsiTheme="majorHAnsi"/>
          <w:sz w:val="24"/>
          <w:szCs w:val="24"/>
        </w:rPr>
        <w:t>leading</w:t>
      </w:r>
      <w:r w:rsidRPr="00EE18C1">
        <w:rPr>
          <w:rFonts w:asciiTheme="majorHAnsi" w:hAnsiTheme="majorHAnsi"/>
          <w:sz w:val="24"/>
          <w:szCs w:val="24"/>
        </w:rPr>
        <w:t xml:space="preserve"> the Severe Weather Fo</w:t>
      </w:r>
      <w:r w:rsidR="000365EA" w:rsidRPr="00EE18C1">
        <w:rPr>
          <w:rFonts w:asciiTheme="majorHAnsi" w:hAnsiTheme="majorHAnsi"/>
          <w:sz w:val="24"/>
          <w:szCs w:val="24"/>
        </w:rPr>
        <w:t>recasting Demonstration Project for Southeast Asia (SWFDP-</w:t>
      </w:r>
      <w:proofErr w:type="spellStart"/>
      <w:r w:rsidR="000365EA" w:rsidRPr="00EE18C1">
        <w:rPr>
          <w:rFonts w:asciiTheme="majorHAnsi" w:hAnsiTheme="majorHAnsi"/>
          <w:sz w:val="24"/>
          <w:szCs w:val="24"/>
        </w:rPr>
        <w:t>SeA</w:t>
      </w:r>
      <w:proofErr w:type="spellEnd"/>
      <w:r w:rsidR="000365EA" w:rsidRPr="00EE18C1">
        <w:rPr>
          <w:rFonts w:asciiTheme="majorHAnsi" w:hAnsiTheme="majorHAnsi"/>
          <w:sz w:val="24"/>
          <w:szCs w:val="24"/>
        </w:rPr>
        <w:t>).    In addition to provide 24/7 support of SWFDP-</w:t>
      </w:r>
      <w:proofErr w:type="spellStart"/>
      <w:r w:rsidR="000365EA" w:rsidRPr="00EE18C1">
        <w:rPr>
          <w:rFonts w:asciiTheme="majorHAnsi" w:hAnsiTheme="majorHAnsi"/>
          <w:sz w:val="24"/>
          <w:szCs w:val="24"/>
        </w:rPr>
        <w:t>SeA</w:t>
      </w:r>
      <w:proofErr w:type="spellEnd"/>
      <w:r w:rsidR="000365EA" w:rsidRPr="00EE18C1">
        <w:rPr>
          <w:rFonts w:asciiTheme="majorHAnsi" w:hAnsiTheme="majorHAnsi"/>
          <w:sz w:val="24"/>
          <w:szCs w:val="24"/>
        </w:rPr>
        <w:t xml:space="preserve"> products and services, Vietnam </w:t>
      </w:r>
      <w:r w:rsidR="00704869" w:rsidRPr="00EE18C1">
        <w:rPr>
          <w:rFonts w:asciiTheme="majorHAnsi" w:hAnsiTheme="majorHAnsi"/>
          <w:sz w:val="24"/>
          <w:szCs w:val="24"/>
        </w:rPr>
        <w:t xml:space="preserve">continues to host a 2-week course </w:t>
      </w:r>
      <w:r w:rsidR="000365EA" w:rsidRPr="00EE18C1">
        <w:rPr>
          <w:rFonts w:asciiTheme="majorHAnsi" w:hAnsiTheme="majorHAnsi"/>
          <w:sz w:val="24"/>
          <w:szCs w:val="24"/>
        </w:rPr>
        <w:t>to provide</w:t>
      </w:r>
      <w:r w:rsidR="00704869" w:rsidRPr="00EE18C1">
        <w:rPr>
          <w:rFonts w:asciiTheme="majorHAnsi" w:hAnsiTheme="majorHAnsi"/>
          <w:sz w:val="24"/>
          <w:szCs w:val="24"/>
        </w:rPr>
        <w:t xml:space="preserve"> direct and hands-on training.  As similarly reported by C</w:t>
      </w:r>
      <w:r w:rsidR="00C1717C">
        <w:rPr>
          <w:rFonts w:asciiTheme="majorHAnsi" w:hAnsiTheme="majorHAnsi"/>
          <w:sz w:val="24"/>
          <w:szCs w:val="24"/>
        </w:rPr>
        <w:t>hina,</w:t>
      </w:r>
      <w:r w:rsidR="00704869" w:rsidRPr="00EE18C1">
        <w:rPr>
          <w:rFonts w:asciiTheme="majorHAnsi" w:hAnsiTheme="majorHAnsi"/>
          <w:sz w:val="24"/>
          <w:szCs w:val="24"/>
        </w:rPr>
        <w:t xml:space="preserve"> expert forecasters from Viet Nam and China actively </w:t>
      </w:r>
      <w:r w:rsidR="00704869" w:rsidRPr="00EE18C1">
        <w:rPr>
          <w:rFonts w:asciiTheme="majorHAnsi" w:hAnsiTheme="majorHAnsi"/>
          <w:sz w:val="24"/>
          <w:szCs w:val="24"/>
        </w:rPr>
        <w:lastRenderedPageBreak/>
        <w:t>collaborate on tropical cyclone which are expected to make landfall near the border between China and Viet Nam.  This collaboration has proven to be very successful.</w:t>
      </w:r>
    </w:p>
    <w:p w:rsidR="00704869" w:rsidRPr="00EE18C1" w:rsidRDefault="00704869" w:rsidP="00E27C14">
      <w:pPr>
        <w:rPr>
          <w:rFonts w:asciiTheme="majorHAnsi" w:hAnsiTheme="majorHAnsi"/>
          <w:sz w:val="24"/>
          <w:szCs w:val="24"/>
        </w:rPr>
      </w:pPr>
    </w:p>
    <w:p w:rsidR="00704869" w:rsidRPr="00EE18C1" w:rsidRDefault="00704869" w:rsidP="00E27C14">
      <w:pPr>
        <w:rPr>
          <w:rFonts w:asciiTheme="majorHAnsi" w:hAnsiTheme="majorHAnsi"/>
          <w:i/>
          <w:sz w:val="24"/>
          <w:szCs w:val="24"/>
        </w:rPr>
      </w:pPr>
      <w:r w:rsidRPr="00EE18C1">
        <w:rPr>
          <w:rFonts w:asciiTheme="majorHAnsi" w:hAnsiTheme="majorHAnsi"/>
          <w:sz w:val="24"/>
          <w:szCs w:val="24"/>
        </w:rPr>
        <w:t xml:space="preserve">Other </w:t>
      </w:r>
      <w:r w:rsidR="00EE18C1" w:rsidRPr="00EE18C1">
        <w:rPr>
          <w:rFonts w:asciiTheme="majorHAnsi" w:hAnsiTheme="majorHAnsi"/>
          <w:sz w:val="24"/>
          <w:szCs w:val="24"/>
        </w:rPr>
        <w:t xml:space="preserve">significant </w:t>
      </w:r>
      <w:r w:rsidRPr="00EE18C1">
        <w:rPr>
          <w:rFonts w:asciiTheme="majorHAnsi" w:hAnsiTheme="majorHAnsi"/>
          <w:sz w:val="24"/>
          <w:szCs w:val="24"/>
        </w:rPr>
        <w:t>projects include upgrades to the Central Data H</w:t>
      </w:r>
      <w:r w:rsidR="00EE18C1" w:rsidRPr="00EE18C1">
        <w:rPr>
          <w:rFonts w:asciiTheme="majorHAnsi" w:hAnsiTheme="majorHAnsi"/>
          <w:sz w:val="24"/>
          <w:szCs w:val="24"/>
        </w:rPr>
        <w:t xml:space="preserve">ub, </w:t>
      </w:r>
      <w:r w:rsidRPr="00EE18C1">
        <w:rPr>
          <w:rFonts w:asciiTheme="majorHAnsi" w:hAnsiTheme="majorHAnsi"/>
          <w:sz w:val="24"/>
          <w:szCs w:val="24"/>
        </w:rPr>
        <w:t xml:space="preserve">improvements in impact-based forecasting, </w:t>
      </w:r>
      <w:r w:rsidR="00EE18C1" w:rsidRPr="00EE18C1">
        <w:rPr>
          <w:rFonts w:asciiTheme="majorHAnsi" w:hAnsiTheme="majorHAnsi"/>
          <w:sz w:val="24"/>
          <w:szCs w:val="24"/>
        </w:rPr>
        <w:t>and a new high performance computing (HPC) platform.  The new HPC has allowed advances in regional NWP products.</w:t>
      </w:r>
    </w:p>
    <w:sectPr w:rsidR="00704869" w:rsidRPr="00EE18C1" w:rsidSect="00B31792">
      <w:pgSz w:w="11900" w:h="16840"/>
      <w:pgMar w:top="1440" w:right="1440" w:bottom="1440" w:left="1440" w:header="0" w:footer="101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019D" w:rsidRDefault="0057019D">
      <w:r>
        <w:separator/>
      </w:r>
    </w:p>
  </w:endnote>
  <w:endnote w:type="continuationSeparator" w:id="0">
    <w:p w:rsidR="0057019D" w:rsidRDefault="00570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MT">
    <w:panose1 w:val="020B0604020202020204"/>
    <w:charset w:val="81"/>
    <w:family w:val="auto"/>
    <w:notTrueType/>
    <w:pitch w:val="default"/>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643FB" w:rsidRDefault="00A643FB">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3689985</wp:posOffset>
              </wp:positionH>
              <wp:positionV relativeFrom="page">
                <wp:posOffset>9909810</wp:posOffset>
              </wp:positionV>
              <wp:extent cx="177800" cy="163830"/>
              <wp:effectExtent l="3810" t="3810" r="0" b="381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63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643FB" w:rsidRDefault="00A643FB">
                          <w:pPr>
                            <w:spacing w:before="18"/>
                            <w:ind w:left="40"/>
                            <w:rPr>
                              <w:sz w:val="19"/>
                            </w:rPr>
                          </w:pPr>
                          <w:r>
                            <w:fldChar w:fldCharType="begin"/>
                          </w:r>
                          <w:r>
                            <w:rPr>
                              <w:w w:val="105"/>
                              <w:sz w:val="19"/>
                            </w:rPr>
                            <w:instrText xml:space="preserve"> PAGE </w:instrText>
                          </w:r>
                          <w:r>
                            <w:fldChar w:fldCharType="separate"/>
                          </w:r>
                          <w:r w:rsidR="00C1717C">
                            <w:rPr>
                              <w:noProof/>
                              <w:w w:val="105"/>
                              <w:sz w:val="19"/>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90.55pt;margin-top:780.3pt;width:14pt;height:12.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" filled="f" stroked="f">
              <v:textbox inset="0,0,0,0">
                <w:txbxContent>
                  <w:p w:rsidR="00A643FB" w:rsidRDefault="00A643FB">
                    <w:pPr>
                      <w:spacing w:before="18"/>
                      <w:ind w:left="40"/>
                      <w:rPr>
                        <w:sz w:val="19"/>
                      </w:rPr>
                    </w:pPr>
                    <w:r>
                      <w:fldChar w:fldCharType="begin"/>
                    </w:r>
                    <w:r>
                      <w:rPr>
                        <w:w w:val="105"/>
                        <w:sz w:val="19"/>
                      </w:rPr>
                      <w:instrText xml:space="preserve"> PAGE </w:instrText>
                    </w:r>
                    <w:r>
                      <w:fldChar w:fldCharType="separate"/>
                    </w:r>
                    <w:r w:rsidR="00C1717C">
                      <w:rPr>
                        <w:noProof/>
                        <w:w w:val="105"/>
                        <w:sz w:val="19"/>
                      </w:rPr>
                      <w:t>12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019D" w:rsidRDefault="0057019D">
      <w:r>
        <w:separator/>
      </w:r>
    </w:p>
  </w:footnote>
  <w:footnote w:type="continuationSeparator" w:id="0">
    <w:p w:rsidR="0057019D" w:rsidRDefault="005701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77D8F"/>
    <w:multiLevelType w:val="multilevel"/>
    <w:tmpl w:val="9F2E4686"/>
    <w:lvl w:ilvl="0">
      <w:start w:val="1"/>
      <w:numFmt w:val="decimal"/>
      <w:lvlText w:val="%1."/>
      <w:lvlJc w:val="left"/>
      <w:pPr>
        <w:ind w:left="596" w:hanging="480"/>
      </w:pPr>
      <w:rPr>
        <w:rFonts w:ascii="Cambria" w:eastAsia="Times New Roman" w:hAnsi="Cambria" w:cs="Times New Roman" w:hint="default"/>
        <w:b/>
        <w:bCs/>
        <w:w w:val="100"/>
        <w:sz w:val="24"/>
        <w:szCs w:val="24"/>
      </w:rPr>
    </w:lvl>
    <w:lvl w:ilvl="1">
      <w:start w:val="1"/>
      <w:numFmt w:val="decimal"/>
      <w:lvlText w:val="%1.%2"/>
      <w:lvlJc w:val="left"/>
      <w:pPr>
        <w:ind w:left="1076" w:hanging="960"/>
      </w:pPr>
      <w:rPr>
        <w:rFonts w:hint="default"/>
        <w:b/>
        <w:bCs/>
        <w:i w:val="0"/>
        <w:spacing w:val="-1"/>
        <w:w w:val="100"/>
      </w:rPr>
    </w:lvl>
    <w:lvl w:ilvl="2">
      <w:start w:val="1"/>
      <w:numFmt w:val="lowerLetter"/>
      <w:lvlText w:val="(%3)"/>
      <w:lvlJc w:val="left"/>
      <w:pPr>
        <w:ind w:left="956" w:hanging="960"/>
      </w:pPr>
      <w:rPr>
        <w:rFonts w:ascii="Times New Roman" w:eastAsia="Times New Roman" w:hAnsi="Times New Roman" w:cs="Times New Roman" w:hint="default"/>
        <w:spacing w:val="-27"/>
        <w:w w:val="100"/>
        <w:sz w:val="24"/>
        <w:szCs w:val="24"/>
      </w:rPr>
    </w:lvl>
    <w:lvl w:ilvl="3">
      <w:numFmt w:val="bullet"/>
      <w:lvlText w:val="•"/>
      <w:lvlJc w:val="left"/>
      <w:pPr>
        <w:ind w:left="1080" w:hanging="960"/>
      </w:pPr>
      <w:rPr>
        <w:rFonts w:hint="default"/>
      </w:rPr>
    </w:lvl>
    <w:lvl w:ilvl="4">
      <w:numFmt w:val="bullet"/>
      <w:lvlText w:val="•"/>
      <w:lvlJc w:val="left"/>
      <w:pPr>
        <w:ind w:left="2254" w:hanging="960"/>
      </w:pPr>
      <w:rPr>
        <w:rFonts w:hint="default"/>
      </w:rPr>
    </w:lvl>
    <w:lvl w:ilvl="5">
      <w:numFmt w:val="bullet"/>
      <w:lvlText w:val="•"/>
      <w:lvlJc w:val="left"/>
      <w:pPr>
        <w:ind w:left="3428" w:hanging="960"/>
      </w:pPr>
      <w:rPr>
        <w:rFonts w:hint="default"/>
      </w:rPr>
    </w:lvl>
    <w:lvl w:ilvl="6">
      <w:numFmt w:val="bullet"/>
      <w:lvlText w:val="•"/>
      <w:lvlJc w:val="left"/>
      <w:pPr>
        <w:ind w:left="4602" w:hanging="960"/>
      </w:pPr>
      <w:rPr>
        <w:rFonts w:hint="default"/>
      </w:rPr>
    </w:lvl>
    <w:lvl w:ilvl="7">
      <w:numFmt w:val="bullet"/>
      <w:lvlText w:val="•"/>
      <w:lvlJc w:val="left"/>
      <w:pPr>
        <w:ind w:left="5777" w:hanging="960"/>
      </w:pPr>
      <w:rPr>
        <w:rFonts w:hint="default"/>
      </w:rPr>
    </w:lvl>
    <w:lvl w:ilvl="8">
      <w:numFmt w:val="bullet"/>
      <w:lvlText w:val="•"/>
      <w:lvlJc w:val="left"/>
      <w:pPr>
        <w:ind w:left="6951" w:hanging="960"/>
      </w:pPr>
      <w:rPr>
        <w:rFonts w:hint="default"/>
      </w:rPr>
    </w:lvl>
  </w:abstractNum>
  <w:abstractNum w:abstractNumId="1" w15:restartNumberingAfterBreak="0">
    <w:nsid w:val="0D885693"/>
    <w:multiLevelType w:val="multilevel"/>
    <w:tmpl w:val="08FC2502"/>
    <w:lvl w:ilvl="0">
      <w:start w:val="2"/>
      <w:numFmt w:val="decimal"/>
      <w:lvlText w:val="%1"/>
      <w:lvlJc w:val="left"/>
      <w:pPr>
        <w:ind w:left="490" w:hanging="490"/>
      </w:pPr>
      <w:rPr>
        <w:rFonts w:hint="default"/>
      </w:rPr>
    </w:lvl>
    <w:lvl w:ilvl="1">
      <w:start w:val="3"/>
      <w:numFmt w:val="decimal"/>
      <w:lvlText w:val="%1.%2"/>
      <w:lvlJc w:val="left"/>
      <w:pPr>
        <w:ind w:left="490" w:hanging="4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A16721D"/>
    <w:multiLevelType w:val="multilevel"/>
    <w:tmpl w:val="CF36FC90"/>
    <w:lvl w:ilvl="0">
      <w:start w:val="6"/>
      <w:numFmt w:val="decimal"/>
      <w:lvlText w:val="%1"/>
      <w:lvlJc w:val="left"/>
      <w:pPr>
        <w:ind w:left="483" w:hanging="368"/>
      </w:pPr>
      <w:rPr>
        <w:rFonts w:hint="default"/>
      </w:rPr>
    </w:lvl>
    <w:lvl w:ilvl="1">
      <w:start w:val="2"/>
      <w:numFmt w:val="decimal"/>
      <w:lvlText w:val="%1.%2"/>
      <w:lvlJc w:val="left"/>
      <w:pPr>
        <w:ind w:left="483" w:hanging="368"/>
      </w:pPr>
      <w:rPr>
        <w:rFonts w:ascii="Cambria" w:eastAsia="Cambria" w:hAnsi="Cambria" w:cs="Cambria" w:hint="default"/>
        <w:w w:val="100"/>
        <w:sz w:val="24"/>
        <w:szCs w:val="24"/>
      </w:rPr>
    </w:lvl>
    <w:lvl w:ilvl="2">
      <w:start w:val="1"/>
      <w:numFmt w:val="decimal"/>
      <w:lvlText w:val="%3."/>
      <w:lvlJc w:val="left"/>
      <w:pPr>
        <w:ind w:left="1817" w:hanging="623"/>
      </w:pPr>
      <w:rPr>
        <w:rFonts w:ascii="Cambria" w:eastAsia="Cambria" w:hAnsi="Cambria" w:cs="Cambria" w:hint="default"/>
        <w:i/>
        <w:spacing w:val="0"/>
        <w:w w:val="102"/>
        <w:sz w:val="21"/>
        <w:szCs w:val="21"/>
      </w:rPr>
    </w:lvl>
    <w:lvl w:ilvl="3">
      <w:start w:val="1"/>
      <w:numFmt w:val="lowerLetter"/>
      <w:lvlText w:val="(%4)"/>
      <w:lvlJc w:val="left"/>
      <w:pPr>
        <w:ind w:left="2177" w:hanging="360"/>
      </w:pPr>
      <w:rPr>
        <w:rFonts w:ascii="Cambria" w:eastAsia="Cambria" w:hAnsi="Cambria" w:cs="Cambria" w:hint="default"/>
        <w:i/>
        <w:spacing w:val="0"/>
        <w:w w:val="102"/>
        <w:sz w:val="21"/>
        <w:szCs w:val="21"/>
      </w:rPr>
    </w:lvl>
    <w:lvl w:ilvl="4">
      <w:numFmt w:val="bullet"/>
      <w:lvlText w:val="•"/>
      <w:lvlJc w:val="left"/>
      <w:pPr>
        <w:ind w:left="3960" w:hanging="360"/>
      </w:pPr>
      <w:rPr>
        <w:rFonts w:hint="default"/>
      </w:rPr>
    </w:lvl>
    <w:lvl w:ilvl="5">
      <w:numFmt w:val="bullet"/>
      <w:lvlText w:val="•"/>
      <w:lvlJc w:val="left"/>
      <w:pPr>
        <w:ind w:left="4850" w:hanging="360"/>
      </w:pPr>
      <w:rPr>
        <w:rFonts w:hint="default"/>
      </w:rPr>
    </w:lvl>
    <w:lvl w:ilvl="6">
      <w:numFmt w:val="bullet"/>
      <w:lvlText w:val="•"/>
      <w:lvlJc w:val="left"/>
      <w:pPr>
        <w:ind w:left="5740" w:hanging="360"/>
      </w:pPr>
      <w:rPr>
        <w:rFonts w:hint="default"/>
      </w:rPr>
    </w:lvl>
    <w:lvl w:ilvl="7">
      <w:numFmt w:val="bullet"/>
      <w:lvlText w:val="•"/>
      <w:lvlJc w:val="left"/>
      <w:pPr>
        <w:ind w:left="6630" w:hanging="360"/>
      </w:pPr>
      <w:rPr>
        <w:rFonts w:hint="default"/>
      </w:rPr>
    </w:lvl>
    <w:lvl w:ilvl="8">
      <w:numFmt w:val="bullet"/>
      <w:lvlText w:val="•"/>
      <w:lvlJc w:val="left"/>
      <w:pPr>
        <w:ind w:left="7520" w:hanging="360"/>
      </w:pPr>
      <w:rPr>
        <w:rFonts w:hint="default"/>
      </w:rPr>
    </w:lvl>
  </w:abstractNum>
  <w:abstractNum w:abstractNumId="3" w15:restartNumberingAfterBreak="0">
    <w:nsid w:val="27BD2D9B"/>
    <w:multiLevelType w:val="hybridMultilevel"/>
    <w:tmpl w:val="B5C27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C95577"/>
    <w:multiLevelType w:val="hybridMultilevel"/>
    <w:tmpl w:val="E56CF8DC"/>
    <w:lvl w:ilvl="0" w:tplc="DBE21398">
      <w:start w:val="1"/>
      <w:numFmt w:val="lowerLetter"/>
      <w:lvlText w:val="(%1)"/>
      <w:lvlJc w:val="left"/>
      <w:pPr>
        <w:ind w:left="876" w:hanging="360"/>
      </w:pPr>
      <w:rPr>
        <w:rFonts w:ascii="Times New Roman" w:eastAsia="Times New Roman" w:hAnsi="Times New Roman" w:cs="Times New Roman" w:hint="default"/>
        <w:spacing w:val="-27"/>
        <w:w w:val="100"/>
        <w:sz w:val="24"/>
        <w:szCs w:val="24"/>
      </w:rPr>
    </w:lvl>
    <w:lvl w:ilvl="1" w:tplc="FAC4E8EA">
      <w:numFmt w:val="bullet"/>
      <w:lvlText w:val="•"/>
      <w:lvlJc w:val="left"/>
      <w:pPr>
        <w:ind w:left="1738" w:hanging="360"/>
      </w:pPr>
      <w:rPr>
        <w:rFonts w:hint="default"/>
      </w:rPr>
    </w:lvl>
    <w:lvl w:ilvl="2" w:tplc="E84C3F3E">
      <w:numFmt w:val="bullet"/>
      <w:lvlText w:val="•"/>
      <w:lvlJc w:val="left"/>
      <w:pPr>
        <w:ind w:left="2596" w:hanging="360"/>
      </w:pPr>
      <w:rPr>
        <w:rFonts w:hint="default"/>
      </w:rPr>
    </w:lvl>
    <w:lvl w:ilvl="3" w:tplc="8D8EE12E">
      <w:numFmt w:val="bullet"/>
      <w:lvlText w:val="•"/>
      <w:lvlJc w:val="left"/>
      <w:pPr>
        <w:ind w:left="3454" w:hanging="360"/>
      </w:pPr>
      <w:rPr>
        <w:rFonts w:hint="default"/>
      </w:rPr>
    </w:lvl>
    <w:lvl w:ilvl="4" w:tplc="36F23768">
      <w:numFmt w:val="bullet"/>
      <w:lvlText w:val="•"/>
      <w:lvlJc w:val="left"/>
      <w:pPr>
        <w:ind w:left="4312" w:hanging="360"/>
      </w:pPr>
      <w:rPr>
        <w:rFonts w:hint="default"/>
      </w:rPr>
    </w:lvl>
    <w:lvl w:ilvl="5" w:tplc="23DC1C6C">
      <w:numFmt w:val="bullet"/>
      <w:lvlText w:val="•"/>
      <w:lvlJc w:val="left"/>
      <w:pPr>
        <w:ind w:left="5170" w:hanging="360"/>
      </w:pPr>
      <w:rPr>
        <w:rFonts w:hint="default"/>
      </w:rPr>
    </w:lvl>
    <w:lvl w:ilvl="6" w:tplc="9E7A46F4">
      <w:numFmt w:val="bullet"/>
      <w:lvlText w:val="•"/>
      <w:lvlJc w:val="left"/>
      <w:pPr>
        <w:ind w:left="6028" w:hanging="360"/>
      </w:pPr>
      <w:rPr>
        <w:rFonts w:hint="default"/>
      </w:rPr>
    </w:lvl>
    <w:lvl w:ilvl="7" w:tplc="79923738">
      <w:numFmt w:val="bullet"/>
      <w:lvlText w:val="•"/>
      <w:lvlJc w:val="left"/>
      <w:pPr>
        <w:ind w:left="6886" w:hanging="360"/>
      </w:pPr>
      <w:rPr>
        <w:rFonts w:hint="default"/>
      </w:rPr>
    </w:lvl>
    <w:lvl w:ilvl="8" w:tplc="E228AE72">
      <w:numFmt w:val="bullet"/>
      <w:lvlText w:val="•"/>
      <w:lvlJc w:val="left"/>
      <w:pPr>
        <w:ind w:left="7744" w:hanging="360"/>
      </w:pPr>
      <w:rPr>
        <w:rFonts w:hint="default"/>
      </w:rPr>
    </w:lvl>
  </w:abstractNum>
  <w:abstractNum w:abstractNumId="5" w15:restartNumberingAfterBreak="0">
    <w:nsid w:val="2F4F23DA"/>
    <w:multiLevelType w:val="multilevel"/>
    <w:tmpl w:val="40241846"/>
    <w:lvl w:ilvl="0">
      <w:start w:val="2"/>
      <w:numFmt w:val="decimal"/>
      <w:lvlText w:val="%1"/>
      <w:lvlJc w:val="left"/>
      <w:pPr>
        <w:ind w:left="490" w:hanging="490"/>
      </w:pPr>
      <w:rPr>
        <w:rFonts w:hint="default"/>
      </w:rPr>
    </w:lvl>
    <w:lvl w:ilvl="1">
      <w:start w:val="3"/>
      <w:numFmt w:val="decimal"/>
      <w:lvlText w:val="%1.%2"/>
      <w:lvlJc w:val="left"/>
      <w:pPr>
        <w:ind w:left="490" w:hanging="4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2801C17"/>
    <w:multiLevelType w:val="hybridMultilevel"/>
    <w:tmpl w:val="CB1C86F2"/>
    <w:lvl w:ilvl="0" w:tplc="6C06BB92">
      <w:start w:val="1"/>
      <w:numFmt w:val="decimal"/>
      <w:lvlText w:val="%1)"/>
      <w:lvlJc w:val="left"/>
      <w:pPr>
        <w:ind w:left="362" w:hanging="247"/>
      </w:pPr>
      <w:rPr>
        <w:rFonts w:ascii="Times New Roman" w:eastAsia="Times New Roman" w:hAnsi="Times New Roman" w:cs="Times New Roman" w:hint="default"/>
        <w:w w:val="100"/>
        <w:sz w:val="24"/>
        <w:szCs w:val="24"/>
      </w:rPr>
    </w:lvl>
    <w:lvl w:ilvl="1" w:tplc="502C1962">
      <w:numFmt w:val="bullet"/>
      <w:lvlText w:val="•"/>
      <w:lvlJc w:val="left"/>
      <w:pPr>
        <w:ind w:left="1270" w:hanging="247"/>
      </w:pPr>
      <w:rPr>
        <w:rFonts w:hint="default"/>
      </w:rPr>
    </w:lvl>
    <w:lvl w:ilvl="2" w:tplc="3D9E5D4A">
      <w:numFmt w:val="bullet"/>
      <w:lvlText w:val="•"/>
      <w:lvlJc w:val="left"/>
      <w:pPr>
        <w:ind w:left="2180" w:hanging="247"/>
      </w:pPr>
      <w:rPr>
        <w:rFonts w:hint="default"/>
      </w:rPr>
    </w:lvl>
    <w:lvl w:ilvl="3" w:tplc="3DEACBEE">
      <w:numFmt w:val="bullet"/>
      <w:lvlText w:val="•"/>
      <w:lvlJc w:val="left"/>
      <w:pPr>
        <w:ind w:left="3090" w:hanging="247"/>
      </w:pPr>
      <w:rPr>
        <w:rFonts w:hint="default"/>
      </w:rPr>
    </w:lvl>
    <w:lvl w:ilvl="4" w:tplc="1B169AD4">
      <w:numFmt w:val="bullet"/>
      <w:lvlText w:val="•"/>
      <w:lvlJc w:val="left"/>
      <w:pPr>
        <w:ind w:left="4000" w:hanging="247"/>
      </w:pPr>
      <w:rPr>
        <w:rFonts w:hint="default"/>
      </w:rPr>
    </w:lvl>
    <w:lvl w:ilvl="5" w:tplc="1C7665A8">
      <w:numFmt w:val="bullet"/>
      <w:lvlText w:val="•"/>
      <w:lvlJc w:val="left"/>
      <w:pPr>
        <w:ind w:left="4910" w:hanging="247"/>
      </w:pPr>
      <w:rPr>
        <w:rFonts w:hint="default"/>
      </w:rPr>
    </w:lvl>
    <w:lvl w:ilvl="6" w:tplc="77F2F48C">
      <w:numFmt w:val="bullet"/>
      <w:lvlText w:val="•"/>
      <w:lvlJc w:val="left"/>
      <w:pPr>
        <w:ind w:left="5820" w:hanging="247"/>
      </w:pPr>
      <w:rPr>
        <w:rFonts w:hint="default"/>
      </w:rPr>
    </w:lvl>
    <w:lvl w:ilvl="7" w:tplc="5AA26D3C">
      <w:numFmt w:val="bullet"/>
      <w:lvlText w:val="•"/>
      <w:lvlJc w:val="left"/>
      <w:pPr>
        <w:ind w:left="6730" w:hanging="247"/>
      </w:pPr>
      <w:rPr>
        <w:rFonts w:hint="default"/>
      </w:rPr>
    </w:lvl>
    <w:lvl w:ilvl="8" w:tplc="1E063464">
      <w:numFmt w:val="bullet"/>
      <w:lvlText w:val="•"/>
      <w:lvlJc w:val="left"/>
      <w:pPr>
        <w:ind w:left="7640" w:hanging="247"/>
      </w:pPr>
      <w:rPr>
        <w:rFonts w:hint="default"/>
      </w:rPr>
    </w:lvl>
  </w:abstractNum>
  <w:abstractNum w:abstractNumId="7" w15:restartNumberingAfterBreak="0">
    <w:nsid w:val="33004B70"/>
    <w:multiLevelType w:val="multilevel"/>
    <w:tmpl w:val="B9661206"/>
    <w:lvl w:ilvl="0">
      <w:start w:val="2"/>
      <w:numFmt w:val="decimal"/>
      <w:lvlText w:val="%1"/>
      <w:lvlJc w:val="left"/>
      <w:pPr>
        <w:ind w:left="969" w:hanging="420"/>
      </w:pPr>
      <w:rPr>
        <w:rFonts w:hint="default"/>
      </w:rPr>
    </w:lvl>
    <w:lvl w:ilvl="1">
      <w:start w:val="1"/>
      <w:numFmt w:val="decimal"/>
      <w:lvlText w:val="%1.%2."/>
      <w:lvlJc w:val="left"/>
      <w:pPr>
        <w:ind w:left="969" w:hanging="420"/>
      </w:pPr>
      <w:rPr>
        <w:rFonts w:ascii="Times New Roman" w:eastAsia="Times New Roman" w:hAnsi="Times New Roman" w:cs="Times New Roman" w:hint="default"/>
        <w:spacing w:val="-2"/>
        <w:w w:val="99"/>
        <w:sz w:val="24"/>
        <w:szCs w:val="24"/>
      </w:rPr>
    </w:lvl>
    <w:lvl w:ilvl="2">
      <w:numFmt w:val="bullet"/>
      <w:lvlText w:val="•"/>
      <w:lvlJc w:val="left"/>
      <w:pPr>
        <w:ind w:left="2617" w:hanging="420"/>
      </w:pPr>
      <w:rPr>
        <w:rFonts w:hint="default"/>
      </w:rPr>
    </w:lvl>
    <w:lvl w:ilvl="3">
      <w:numFmt w:val="bullet"/>
      <w:lvlText w:val="•"/>
      <w:lvlJc w:val="left"/>
      <w:pPr>
        <w:ind w:left="3445" w:hanging="420"/>
      </w:pPr>
      <w:rPr>
        <w:rFonts w:hint="default"/>
      </w:rPr>
    </w:lvl>
    <w:lvl w:ilvl="4">
      <w:numFmt w:val="bullet"/>
      <w:lvlText w:val="•"/>
      <w:lvlJc w:val="left"/>
      <w:pPr>
        <w:ind w:left="4274" w:hanging="420"/>
      </w:pPr>
      <w:rPr>
        <w:rFonts w:hint="default"/>
      </w:rPr>
    </w:lvl>
    <w:lvl w:ilvl="5">
      <w:numFmt w:val="bullet"/>
      <w:lvlText w:val="•"/>
      <w:lvlJc w:val="left"/>
      <w:pPr>
        <w:ind w:left="5103" w:hanging="420"/>
      </w:pPr>
      <w:rPr>
        <w:rFonts w:hint="default"/>
      </w:rPr>
    </w:lvl>
    <w:lvl w:ilvl="6">
      <w:numFmt w:val="bullet"/>
      <w:lvlText w:val="•"/>
      <w:lvlJc w:val="left"/>
      <w:pPr>
        <w:ind w:left="5931" w:hanging="420"/>
      </w:pPr>
      <w:rPr>
        <w:rFonts w:hint="default"/>
      </w:rPr>
    </w:lvl>
    <w:lvl w:ilvl="7">
      <w:numFmt w:val="bullet"/>
      <w:lvlText w:val="•"/>
      <w:lvlJc w:val="left"/>
      <w:pPr>
        <w:ind w:left="6760" w:hanging="420"/>
      </w:pPr>
      <w:rPr>
        <w:rFonts w:hint="default"/>
      </w:rPr>
    </w:lvl>
    <w:lvl w:ilvl="8">
      <w:numFmt w:val="bullet"/>
      <w:lvlText w:val="•"/>
      <w:lvlJc w:val="left"/>
      <w:pPr>
        <w:ind w:left="7589" w:hanging="420"/>
      </w:pPr>
      <w:rPr>
        <w:rFonts w:hint="default"/>
      </w:rPr>
    </w:lvl>
  </w:abstractNum>
  <w:abstractNum w:abstractNumId="8" w15:restartNumberingAfterBreak="0">
    <w:nsid w:val="336A3944"/>
    <w:multiLevelType w:val="multilevel"/>
    <w:tmpl w:val="35BE1CDA"/>
    <w:lvl w:ilvl="0">
      <w:start w:val="3"/>
      <w:numFmt w:val="decimal"/>
      <w:lvlText w:val="%1"/>
      <w:lvlJc w:val="left"/>
      <w:pPr>
        <w:ind w:left="360" w:hanging="360"/>
      </w:pPr>
      <w:rPr>
        <w:rFonts w:hint="default"/>
      </w:rPr>
    </w:lvl>
    <w:lvl w:ilvl="1">
      <w:start w:val="2"/>
      <w:numFmt w:val="decimal"/>
      <w:lvlText w:val="%1.%2"/>
      <w:lvlJc w:val="left"/>
      <w:pPr>
        <w:ind w:left="475" w:hanging="360"/>
      </w:pPr>
      <w:rPr>
        <w:rFonts w:hint="default"/>
      </w:rPr>
    </w:lvl>
    <w:lvl w:ilvl="2">
      <w:start w:val="1"/>
      <w:numFmt w:val="decimal"/>
      <w:lvlText w:val="%1.%2.%3"/>
      <w:lvlJc w:val="left"/>
      <w:pPr>
        <w:ind w:left="950" w:hanging="720"/>
      </w:pPr>
      <w:rPr>
        <w:rFonts w:hint="default"/>
      </w:rPr>
    </w:lvl>
    <w:lvl w:ilvl="3">
      <w:start w:val="1"/>
      <w:numFmt w:val="decimal"/>
      <w:lvlText w:val="%1.%2.%3.%4"/>
      <w:lvlJc w:val="left"/>
      <w:pPr>
        <w:ind w:left="1425" w:hanging="1080"/>
      </w:pPr>
      <w:rPr>
        <w:rFonts w:hint="default"/>
      </w:rPr>
    </w:lvl>
    <w:lvl w:ilvl="4">
      <w:start w:val="1"/>
      <w:numFmt w:val="decimal"/>
      <w:lvlText w:val="%1.%2.%3.%4.%5"/>
      <w:lvlJc w:val="left"/>
      <w:pPr>
        <w:ind w:left="1540" w:hanging="1080"/>
      </w:pPr>
      <w:rPr>
        <w:rFonts w:hint="default"/>
      </w:rPr>
    </w:lvl>
    <w:lvl w:ilvl="5">
      <w:start w:val="1"/>
      <w:numFmt w:val="decimal"/>
      <w:lvlText w:val="%1.%2.%3.%4.%5.%6"/>
      <w:lvlJc w:val="left"/>
      <w:pPr>
        <w:ind w:left="2015" w:hanging="1440"/>
      </w:pPr>
      <w:rPr>
        <w:rFonts w:hint="default"/>
      </w:rPr>
    </w:lvl>
    <w:lvl w:ilvl="6">
      <w:start w:val="1"/>
      <w:numFmt w:val="decimal"/>
      <w:lvlText w:val="%1.%2.%3.%4.%5.%6.%7"/>
      <w:lvlJc w:val="left"/>
      <w:pPr>
        <w:ind w:left="2130" w:hanging="1440"/>
      </w:pPr>
      <w:rPr>
        <w:rFonts w:hint="default"/>
      </w:rPr>
    </w:lvl>
    <w:lvl w:ilvl="7">
      <w:start w:val="1"/>
      <w:numFmt w:val="decimal"/>
      <w:lvlText w:val="%1.%2.%3.%4.%5.%6.%7.%8"/>
      <w:lvlJc w:val="left"/>
      <w:pPr>
        <w:ind w:left="2605" w:hanging="1800"/>
      </w:pPr>
      <w:rPr>
        <w:rFonts w:hint="default"/>
      </w:rPr>
    </w:lvl>
    <w:lvl w:ilvl="8">
      <w:start w:val="1"/>
      <w:numFmt w:val="decimal"/>
      <w:lvlText w:val="%1.%2.%3.%4.%5.%6.%7.%8.%9"/>
      <w:lvlJc w:val="left"/>
      <w:pPr>
        <w:ind w:left="2720" w:hanging="1800"/>
      </w:pPr>
      <w:rPr>
        <w:rFonts w:hint="default"/>
      </w:rPr>
    </w:lvl>
  </w:abstractNum>
  <w:abstractNum w:abstractNumId="9" w15:restartNumberingAfterBreak="0">
    <w:nsid w:val="48EB1619"/>
    <w:multiLevelType w:val="multilevel"/>
    <w:tmpl w:val="49C80284"/>
    <w:lvl w:ilvl="0">
      <w:start w:val="2"/>
      <w:numFmt w:val="decimal"/>
      <w:lvlText w:val="%1"/>
      <w:lvlJc w:val="left"/>
      <w:pPr>
        <w:ind w:left="116" w:hanging="960"/>
      </w:pPr>
      <w:rPr>
        <w:rFonts w:hint="default"/>
      </w:rPr>
    </w:lvl>
    <w:lvl w:ilvl="1">
      <w:start w:val="1"/>
      <w:numFmt w:val="decimal"/>
      <w:lvlText w:val="%1.%2"/>
      <w:lvlJc w:val="left"/>
      <w:pPr>
        <w:ind w:left="116" w:hanging="960"/>
      </w:pPr>
      <w:rPr>
        <w:rFonts w:hint="default"/>
      </w:rPr>
    </w:lvl>
    <w:lvl w:ilvl="2">
      <w:start w:val="1"/>
      <w:numFmt w:val="decimal"/>
      <w:lvlText w:val="%1.%2.%3"/>
      <w:lvlJc w:val="left"/>
      <w:pPr>
        <w:ind w:left="116" w:hanging="960"/>
      </w:pPr>
      <w:rPr>
        <w:rFonts w:ascii="Cambria" w:eastAsia="Times New Roman" w:hAnsi="Cambria" w:cs="Times New Roman" w:hint="default"/>
        <w:b/>
        <w:spacing w:val="-22"/>
        <w:w w:val="100"/>
        <w:sz w:val="24"/>
        <w:szCs w:val="24"/>
      </w:rPr>
    </w:lvl>
    <w:lvl w:ilvl="3">
      <w:numFmt w:val="bullet"/>
      <w:lvlText w:val="•"/>
      <w:lvlJc w:val="left"/>
      <w:pPr>
        <w:ind w:left="2874" w:hanging="960"/>
      </w:pPr>
      <w:rPr>
        <w:rFonts w:hint="default"/>
      </w:rPr>
    </w:lvl>
    <w:lvl w:ilvl="4">
      <w:numFmt w:val="bullet"/>
      <w:lvlText w:val="•"/>
      <w:lvlJc w:val="left"/>
      <w:pPr>
        <w:ind w:left="3792" w:hanging="960"/>
      </w:pPr>
      <w:rPr>
        <w:rFonts w:hint="default"/>
      </w:rPr>
    </w:lvl>
    <w:lvl w:ilvl="5">
      <w:numFmt w:val="bullet"/>
      <w:lvlText w:val="•"/>
      <w:lvlJc w:val="left"/>
      <w:pPr>
        <w:ind w:left="4710" w:hanging="960"/>
      </w:pPr>
      <w:rPr>
        <w:rFonts w:hint="default"/>
      </w:rPr>
    </w:lvl>
    <w:lvl w:ilvl="6">
      <w:numFmt w:val="bullet"/>
      <w:lvlText w:val="•"/>
      <w:lvlJc w:val="left"/>
      <w:pPr>
        <w:ind w:left="5628" w:hanging="960"/>
      </w:pPr>
      <w:rPr>
        <w:rFonts w:hint="default"/>
      </w:rPr>
    </w:lvl>
    <w:lvl w:ilvl="7">
      <w:numFmt w:val="bullet"/>
      <w:lvlText w:val="•"/>
      <w:lvlJc w:val="left"/>
      <w:pPr>
        <w:ind w:left="6546" w:hanging="960"/>
      </w:pPr>
      <w:rPr>
        <w:rFonts w:hint="default"/>
      </w:rPr>
    </w:lvl>
    <w:lvl w:ilvl="8">
      <w:numFmt w:val="bullet"/>
      <w:lvlText w:val="•"/>
      <w:lvlJc w:val="left"/>
      <w:pPr>
        <w:ind w:left="7464" w:hanging="960"/>
      </w:pPr>
      <w:rPr>
        <w:rFonts w:hint="default"/>
      </w:rPr>
    </w:lvl>
  </w:abstractNum>
  <w:abstractNum w:abstractNumId="10" w15:restartNumberingAfterBreak="0">
    <w:nsid w:val="491B5A4C"/>
    <w:multiLevelType w:val="hybridMultilevel"/>
    <w:tmpl w:val="9CF4BD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92A3C97"/>
    <w:multiLevelType w:val="multilevel"/>
    <w:tmpl w:val="3BC66B44"/>
    <w:lvl w:ilvl="0">
      <w:start w:val="2"/>
      <w:numFmt w:val="decimal"/>
      <w:lvlText w:val="%1"/>
      <w:lvlJc w:val="left"/>
      <w:pPr>
        <w:ind w:left="480" w:hanging="480"/>
      </w:pPr>
      <w:rPr>
        <w:rFonts w:hint="default"/>
      </w:rPr>
    </w:lvl>
    <w:lvl w:ilvl="1">
      <w:start w:val="2"/>
      <w:numFmt w:val="decimal"/>
      <w:lvlText w:val="%1.%2"/>
      <w:lvlJc w:val="left"/>
      <w:pPr>
        <w:ind w:left="58" w:hanging="480"/>
      </w:pPr>
      <w:rPr>
        <w:rFonts w:hint="default"/>
      </w:rPr>
    </w:lvl>
    <w:lvl w:ilvl="2">
      <w:start w:val="5"/>
      <w:numFmt w:val="decimal"/>
      <w:lvlText w:val="%1.%2.%3"/>
      <w:lvlJc w:val="left"/>
      <w:pPr>
        <w:ind w:left="-124" w:hanging="720"/>
      </w:pPr>
      <w:rPr>
        <w:rFonts w:hint="default"/>
      </w:rPr>
    </w:lvl>
    <w:lvl w:ilvl="3">
      <w:start w:val="1"/>
      <w:numFmt w:val="decimal"/>
      <w:lvlText w:val="%1.%2.%3.%4"/>
      <w:lvlJc w:val="left"/>
      <w:pPr>
        <w:ind w:left="-546" w:hanging="720"/>
      </w:pPr>
      <w:rPr>
        <w:rFonts w:hint="default"/>
      </w:rPr>
    </w:lvl>
    <w:lvl w:ilvl="4">
      <w:start w:val="1"/>
      <w:numFmt w:val="decimal"/>
      <w:lvlText w:val="%1.%2.%3.%4.%5"/>
      <w:lvlJc w:val="left"/>
      <w:pPr>
        <w:ind w:left="-608" w:hanging="1080"/>
      </w:pPr>
      <w:rPr>
        <w:rFonts w:hint="default"/>
      </w:rPr>
    </w:lvl>
    <w:lvl w:ilvl="5">
      <w:start w:val="1"/>
      <w:numFmt w:val="decimal"/>
      <w:lvlText w:val="%1.%2.%3.%4.%5.%6"/>
      <w:lvlJc w:val="left"/>
      <w:pPr>
        <w:ind w:left="-1030" w:hanging="1080"/>
      </w:pPr>
      <w:rPr>
        <w:rFonts w:hint="default"/>
      </w:rPr>
    </w:lvl>
    <w:lvl w:ilvl="6">
      <w:start w:val="1"/>
      <w:numFmt w:val="decimal"/>
      <w:lvlText w:val="%1.%2.%3.%4.%5.%6.%7"/>
      <w:lvlJc w:val="left"/>
      <w:pPr>
        <w:ind w:left="-1092" w:hanging="1440"/>
      </w:pPr>
      <w:rPr>
        <w:rFonts w:hint="default"/>
      </w:rPr>
    </w:lvl>
    <w:lvl w:ilvl="7">
      <w:start w:val="1"/>
      <w:numFmt w:val="decimal"/>
      <w:lvlText w:val="%1.%2.%3.%4.%5.%6.%7.%8"/>
      <w:lvlJc w:val="left"/>
      <w:pPr>
        <w:ind w:left="-1514" w:hanging="1440"/>
      </w:pPr>
      <w:rPr>
        <w:rFonts w:hint="default"/>
      </w:rPr>
    </w:lvl>
    <w:lvl w:ilvl="8">
      <w:start w:val="1"/>
      <w:numFmt w:val="decimal"/>
      <w:lvlText w:val="%1.%2.%3.%4.%5.%6.%7.%8.%9"/>
      <w:lvlJc w:val="left"/>
      <w:pPr>
        <w:ind w:left="-1576" w:hanging="1800"/>
      </w:pPr>
      <w:rPr>
        <w:rFonts w:hint="default"/>
      </w:rPr>
    </w:lvl>
  </w:abstractNum>
  <w:num w:numId="1">
    <w:abstractNumId w:val="9"/>
  </w:num>
  <w:num w:numId="2">
    <w:abstractNumId w:val="0"/>
  </w:num>
  <w:num w:numId="3">
    <w:abstractNumId w:val="2"/>
  </w:num>
  <w:num w:numId="4">
    <w:abstractNumId w:val="6"/>
  </w:num>
  <w:num w:numId="5">
    <w:abstractNumId w:val="4"/>
  </w:num>
  <w:num w:numId="6">
    <w:abstractNumId w:val="7"/>
  </w:num>
  <w:num w:numId="7">
    <w:abstractNumId w:val="11"/>
  </w:num>
  <w:num w:numId="8">
    <w:abstractNumId w:val="10"/>
  </w:num>
  <w:num w:numId="9">
    <w:abstractNumId w:val="1"/>
  </w:num>
  <w:num w:numId="10">
    <w:abstractNumId w:val="5"/>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DD1"/>
    <w:rsid w:val="000120BF"/>
    <w:rsid w:val="000365EA"/>
    <w:rsid w:val="00062091"/>
    <w:rsid w:val="00082AF7"/>
    <w:rsid w:val="00083962"/>
    <w:rsid w:val="0009211A"/>
    <w:rsid w:val="000E6498"/>
    <w:rsid w:val="000F0926"/>
    <w:rsid w:val="00105AE9"/>
    <w:rsid w:val="001110C2"/>
    <w:rsid w:val="0011694E"/>
    <w:rsid w:val="00134B7A"/>
    <w:rsid w:val="00177327"/>
    <w:rsid w:val="001B437A"/>
    <w:rsid w:val="001B47EE"/>
    <w:rsid w:val="001B610A"/>
    <w:rsid w:val="00237408"/>
    <w:rsid w:val="00245FA0"/>
    <w:rsid w:val="00254FA6"/>
    <w:rsid w:val="002550FF"/>
    <w:rsid w:val="00255662"/>
    <w:rsid w:val="00264858"/>
    <w:rsid w:val="00271586"/>
    <w:rsid w:val="00273DA9"/>
    <w:rsid w:val="002828F4"/>
    <w:rsid w:val="0029782A"/>
    <w:rsid w:val="002C1652"/>
    <w:rsid w:val="002C5B8F"/>
    <w:rsid w:val="002D518E"/>
    <w:rsid w:val="002D525F"/>
    <w:rsid w:val="002F5118"/>
    <w:rsid w:val="00303062"/>
    <w:rsid w:val="00314E7F"/>
    <w:rsid w:val="00333579"/>
    <w:rsid w:val="0033609A"/>
    <w:rsid w:val="003565DC"/>
    <w:rsid w:val="003D0800"/>
    <w:rsid w:val="003E1A2E"/>
    <w:rsid w:val="003F1B90"/>
    <w:rsid w:val="004027B3"/>
    <w:rsid w:val="0040764C"/>
    <w:rsid w:val="00407BB2"/>
    <w:rsid w:val="00426249"/>
    <w:rsid w:val="00435938"/>
    <w:rsid w:val="00436208"/>
    <w:rsid w:val="004566F4"/>
    <w:rsid w:val="00492291"/>
    <w:rsid w:val="004D5A25"/>
    <w:rsid w:val="004E76EE"/>
    <w:rsid w:val="00524417"/>
    <w:rsid w:val="00524CD9"/>
    <w:rsid w:val="005368F8"/>
    <w:rsid w:val="005512DD"/>
    <w:rsid w:val="0057019D"/>
    <w:rsid w:val="00571C68"/>
    <w:rsid w:val="005771B4"/>
    <w:rsid w:val="005D4469"/>
    <w:rsid w:val="005D521E"/>
    <w:rsid w:val="005D6F99"/>
    <w:rsid w:val="006068B0"/>
    <w:rsid w:val="00610C20"/>
    <w:rsid w:val="00612885"/>
    <w:rsid w:val="00614F18"/>
    <w:rsid w:val="00623E00"/>
    <w:rsid w:val="0062593D"/>
    <w:rsid w:val="00651929"/>
    <w:rsid w:val="00656D11"/>
    <w:rsid w:val="00680DC9"/>
    <w:rsid w:val="006952FB"/>
    <w:rsid w:val="006B25C4"/>
    <w:rsid w:val="006B66B8"/>
    <w:rsid w:val="006D72A1"/>
    <w:rsid w:val="006D77C1"/>
    <w:rsid w:val="006F02E5"/>
    <w:rsid w:val="006F3DD1"/>
    <w:rsid w:val="006F68C5"/>
    <w:rsid w:val="00704869"/>
    <w:rsid w:val="00713EFC"/>
    <w:rsid w:val="00715527"/>
    <w:rsid w:val="00716605"/>
    <w:rsid w:val="00725232"/>
    <w:rsid w:val="00731249"/>
    <w:rsid w:val="00735290"/>
    <w:rsid w:val="00737FF9"/>
    <w:rsid w:val="00744976"/>
    <w:rsid w:val="007578EC"/>
    <w:rsid w:val="00765796"/>
    <w:rsid w:val="00771875"/>
    <w:rsid w:val="0077749E"/>
    <w:rsid w:val="00782FE6"/>
    <w:rsid w:val="00783A01"/>
    <w:rsid w:val="007B71AF"/>
    <w:rsid w:val="007C0856"/>
    <w:rsid w:val="007C2AA8"/>
    <w:rsid w:val="007E217D"/>
    <w:rsid w:val="008071CD"/>
    <w:rsid w:val="00814DAF"/>
    <w:rsid w:val="0081572E"/>
    <w:rsid w:val="00822D99"/>
    <w:rsid w:val="008254B9"/>
    <w:rsid w:val="00845EBD"/>
    <w:rsid w:val="00857195"/>
    <w:rsid w:val="008621F3"/>
    <w:rsid w:val="00894C44"/>
    <w:rsid w:val="008A3636"/>
    <w:rsid w:val="008C6C3E"/>
    <w:rsid w:val="00900339"/>
    <w:rsid w:val="0090520C"/>
    <w:rsid w:val="009063DB"/>
    <w:rsid w:val="009237C3"/>
    <w:rsid w:val="009401F9"/>
    <w:rsid w:val="009564E8"/>
    <w:rsid w:val="00957F41"/>
    <w:rsid w:val="00977D34"/>
    <w:rsid w:val="00984EFC"/>
    <w:rsid w:val="009A0458"/>
    <w:rsid w:val="009A1098"/>
    <w:rsid w:val="00A04EC0"/>
    <w:rsid w:val="00A12959"/>
    <w:rsid w:val="00A26B10"/>
    <w:rsid w:val="00A36D71"/>
    <w:rsid w:val="00A52B91"/>
    <w:rsid w:val="00A643FB"/>
    <w:rsid w:val="00A74A04"/>
    <w:rsid w:val="00A76E09"/>
    <w:rsid w:val="00A77167"/>
    <w:rsid w:val="00A82E38"/>
    <w:rsid w:val="00A836A8"/>
    <w:rsid w:val="00A879E6"/>
    <w:rsid w:val="00AA0E96"/>
    <w:rsid w:val="00AA1A38"/>
    <w:rsid w:val="00AA30BD"/>
    <w:rsid w:val="00AA7A63"/>
    <w:rsid w:val="00AB7B7F"/>
    <w:rsid w:val="00AC79CE"/>
    <w:rsid w:val="00B004D4"/>
    <w:rsid w:val="00B13AE6"/>
    <w:rsid w:val="00B22E9C"/>
    <w:rsid w:val="00B31792"/>
    <w:rsid w:val="00B37CF3"/>
    <w:rsid w:val="00B41441"/>
    <w:rsid w:val="00B95694"/>
    <w:rsid w:val="00B959BF"/>
    <w:rsid w:val="00BA1618"/>
    <w:rsid w:val="00BB5EC7"/>
    <w:rsid w:val="00BC2614"/>
    <w:rsid w:val="00BC5B86"/>
    <w:rsid w:val="00BD328A"/>
    <w:rsid w:val="00BE6567"/>
    <w:rsid w:val="00C01399"/>
    <w:rsid w:val="00C12A6A"/>
    <w:rsid w:val="00C1717C"/>
    <w:rsid w:val="00C2263F"/>
    <w:rsid w:val="00C2563C"/>
    <w:rsid w:val="00C36A29"/>
    <w:rsid w:val="00C46F26"/>
    <w:rsid w:val="00C649B4"/>
    <w:rsid w:val="00C75C8B"/>
    <w:rsid w:val="00C81C08"/>
    <w:rsid w:val="00CA3E93"/>
    <w:rsid w:val="00CB45DD"/>
    <w:rsid w:val="00CF3C32"/>
    <w:rsid w:val="00D04D7C"/>
    <w:rsid w:val="00D35018"/>
    <w:rsid w:val="00D666F5"/>
    <w:rsid w:val="00D759FD"/>
    <w:rsid w:val="00DA6E13"/>
    <w:rsid w:val="00DB5A82"/>
    <w:rsid w:val="00DD4EF5"/>
    <w:rsid w:val="00DD59EA"/>
    <w:rsid w:val="00DE2B6B"/>
    <w:rsid w:val="00E247A1"/>
    <w:rsid w:val="00E27C14"/>
    <w:rsid w:val="00E27EB7"/>
    <w:rsid w:val="00E412C7"/>
    <w:rsid w:val="00E45CE9"/>
    <w:rsid w:val="00E56AB7"/>
    <w:rsid w:val="00E56F50"/>
    <w:rsid w:val="00E675D3"/>
    <w:rsid w:val="00E750C4"/>
    <w:rsid w:val="00E90B58"/>
    <w:rsid w:val="00EC4CD0"/>
    <w:rsid w:val="00EE18C1"/>
    <w:rsid w:val="00F074ED"/>
    <w:rsid w:val="00F14503"/>
    <w:rsid w:val="00F30F94"/>
    <w:rsid w:val="00F77B4C"/>
    <w:rsid w:val="00F86474"/>
    <w:rsid w:val="00FA10ED"/>
    <w:rsid w:val="00FB35A7"/>
    <w:rsid w:val="00FC1BE1"/>
    <w:rsid w:val="00FC226C"/>
    <w:rsid w:val="00FD0FB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CED892"/>
  <w15:docId w15:val="{5769E553-FCA9-4851-A40A-FA34A9085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ind w:left="115"/>
      <w:jc w:val="center"/>
      <w:outlineLvl w:val="0"/>
    </w:pPr>
    <w:rPr>
      <w:b/>
      <w:bCs/>
      <w:sz w:val="28"/>
      <w:szCs w:val="28"/>
    </w:rPr>
  </w:style>
  <w:style w:type="paragraph" w:styleId="Heading2">
    <w:name w:val="heading 2"/>
    <w:basedOn w:val="Normal"/>
    <w:uiPriority w:val="1"/>
    <w:qFormat/>
    <w:pPr>
      <w:spacing w:before="90"/>
      <w:ind w:left="596" w:hanging="480"/>
      <w:outlineLvl w:val="1"/>
    </w:pPr>
    <w:rPr>
      <w:b/>
      <w:bCs/>
      <w:sz w:val="24"/>
      <w:szCs w:val="24"/>
    </w:rPr>
  </w:style>
  <w:style w:type="paragraph" w:styleId="Heading3">
    <w:name w:val="heading 3"/>
    <w:basedOn w:val="Normal"/>
    <w:uiPriority w:val="1"/>
    <w:qFormat/>
    <w:pPr>
      <w:spacing w:before="90"/>
      <w:ind w:left="1076" w:hanging="960"/>
      <w:jc w:val="both"/>
      <w:outlineLvl w:val="2"/>
    </w:pPr>
    <w:rPr>
      <w:b/>
      <w:bCs/>
      <w: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116" w:right="111"/>
      <w:jc w:val="both"/>
    </w:pPr>
  </w:style>
  <w:style w:type="paragraph" w:customStyle="1" w:styleId="TableParagraph">
    <w:name w:val="Table Paragraph"/>
    <w:basedOn w:val="Normal"/>
    <w:uiPriority w:val="1"/>
    <w:qFormat/>
    <w:pPr>
      <w:jc w:val="center"/>
    </w:pPr>
  </w:style>
  <w:style w:type="character" w:styleId="Hyperlink">
    <w:name w:val="Hyperlink"/>
    <w:basedOn w:val="DefaultParagraphFont"/>
    <w:uiPriority w:val="99"/>
    <w:unhideWhenUsed/>
    <w:rsid w:val="002D518E"/>
    <w:rPr>
      <w:color w:val="0000FF" w:themeColor="hyperlink"/>
      <w:u w:val="single"/>
    </w:rPr>
  </w:style>
  <w:style w:type="table" w:styleId="TableGrid">
    <w:name w:val="Table Grid"/>
    <w:basedOn w:val="TableNormal"/>
    <w:uiPriority w:val="39"/>
    <w:rsid w:val="00A82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7EB7"/>
    <w:pPr>
      <w:tabs>
        <w:tab w:val="center" w:pos="4680"/>
        <w:tab w:val="right" w:pos="9360"/>
      </w:tabs>
    </w:pPr>
  </w:style>
  <w:style w:type="character" w:customStyle="1" w:styleId="HeaderChar">
    <w:name w:val="Header Char"/>
    <w:basedOn w:val="DefaultParagraphFont"/>
    <w:link w:val="Header"/>
    <w:uiPriority w:val="99"/>
    <w:rsid w:val="00E27EB7"/>
    <w:rPr>
      <w:rFonts w:ascii="Times New Roman" w:eastAsia="Times New Roman" w:hAnsi="Times New Roman" w:cs="Times New Roman"/>
    </w:rPr>
  </w:style>
  <w:style w:type="paragraph" w:styleId="Footer">
    <w:name w:val="footer"/>
    <w:basedOn w:val="Normal"/>
    <w:link w:val="FooterChar"/>
    <w:uiPriority w:val="99"/>
    <w:unhideWhenUsed/>
    <w:rsid w:val="00E27EB7"/>
    <w:pPr>
      <w:tabs>
        <w:tab w:val="center" w:pos="4680"/>
        <w:tab w:val="right" w:pos="9360"/>
      </w:tabs>
    </w:pPr>
  </w:style>
  <w:style w:type="character" w:customStyle="1" w:styleId="FooterChar">
    <w:name w:val="Footer Char"/>
    <w:basedOn w:val="DefaultParagraphFont"/>
    <w:link w:val="Footer"/>
    <w:uiPriority w:val="99"/>
    <w:rsid w:val="00E27EB7"/>
    <w:rPr>
      <w:rFonts w:ascii="Times New Roman" w:eastAsia="Times New Roman" w:hAnsi="Times New Roman" w:cs="Times New Roman"/>
    </w:rPr>
  </w:style>
  <w:style w:type="paragraph" w:styleId="NormalWeb">
    <w:name w:val="Normal (Web)"/>
    <w:basedOn w:val="Normal"/>
    <w:uiPriority w:val="99"/>
    <w:semiHidden/>
    <w:unhideWhenUsed/>
    <w:rsid w:val="00571C68"/>
    <w:pPr>
      <w:widowControl/>
      <w:autoSpaceDE/>
      <w:autoSpaceDN/>
      <w:spacing w:before="100" w:beforeAutospacing="1" w:after="100" w:afterAutospacing="1"/>
    </w:pPr>
    <w:rPr>
      <w:sz w:val="24"/>
      <w:szCs w:val="24"/>
      <w:lang w:bidi="km-KH"/>
    </w:rPr>
  </w:style>
  <w:style w:type="paragraph" w:styleId="Subtitle">
    <w:name w:val="Subtitle"/>
    <w:basedOn w:val="Normal"/>
    <w:next w:val="Normal"/>
    <w:link w:val="SubtitleChar"/>
    <w:rsid w:val="009A1098"/>
    <w:pPr>
      <w:keepNext/>
      <w:keepLines/>
      <w:widowControl/>
      <w:autoSpaceDE/>
      <w:autoSpaceDN/>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9A1098"/>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yphooncommittee.org/14IWS/Members14IW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4272</Words>
  <Characters>24357</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NWS - Department of Commerce</Company>
  <LinksUpToDate>false</LinksUpToDate>
  <CharactersWithSpaces>28572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Raymond Tanabe</dc:creator>
  <cp:lastModifiedBy>Denise</cp:lastModifiedBy>
  <cp:revision>2</cp:revision>
  <dcterms:created xsi:type="dcterms:W3CDTF">2020-07-20T02:34:00Z</dcterms:created>
  <dcterms:modified xsi:type="dcterms:W3CDTF">2020-07-20T02:34:00Z</dcterms:modified>
</cp:coreProperties>
</file>